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6DD" w:rsidRPr="00655EA8" w:rsidRDefault="00E47CA1" w:rsidP="00F356DD">
      <w:pPr>
        <w:jc w:val="both"/>
        <w:rPr>
          <w:rFonts w:ascii="Arial" w:hAnsi="Arial" w:cs="Arial"/>
        </w:rPr>
      </w:pPr>
      <w:r w:rsidRPr="00655EA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-3810</wp:posOffset>
            </wp:positionV>
            <wp:extent cx="2626360" cy="3822065"/>
            <wp:effectExtent l="0" t="0" r="0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78" r="86794" b="9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4DF" w:rsidRPr="00655EA8" w:rsidRDefault="00CF04DF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D92D93" w:rsidRPr="00655EA8" w:rsidRDefault="00D92D93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p w:rsidR="00451F79" w:rsidRPr="00655EA8" w:rsidRDefault="00451F79" w:rsidP="00D92D9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55EA8">
        <w:rPr>
          <w:rFonts w:ascii="Times New Roman" w:hAnsi="Times New Roman"/>
          <w:sz w:val="28"/>
          <w:szCs w:val="28"/>
        </w:rPr>
        <w:t>INFORME DE RENDICIÓN DE CUENTAS</w:t>
      </w:r>
    </w:p>
    <w:p w:rsidR="00451F79" w:rsidRPr="00655EA8" w:rsidRDefault="00C554B6" w:rsidP="00D92D9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55EA8">
        <w:rPr>
          <w:rFonts w:ascii="Times New Roman" w:hAnsi="Times New Roman"/>
          <w:i/>
          <w:sz w:val="28"/>
          <w:szCs w:val="28"/>
        </w:rPr>
        <w:t>CENTRO DE SALUD A PARQUE INDUSTRIAL</w:t>
      </w:r>
    </w:p>
    <w:p w:rsidR="0097287D" w:rsidRPr="00655EA8" w:rsidRDefault="00C554B6" w:rsidP="00D92D93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655EA8">
        <w:rPr>
          <w:rFonts w:ascii="Times New Roman" w:hAnsi="Times New Roman"/>
          <w:i/>
          <w:sz w:val="28"/>
          <w:szCs w:val="28"/>
        </w:rPr>
        <w:t>DRA. SANDRA GENOVEVA RAMOS VALENCIA</w:t>
      </w:r>
    </w:p>
    <w:p w:rsidR="00451F79" w:rsidRPr="00655EA8" w:rsidRDefault="00451F79" w:rsidP="00D92D9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55EA8">
        <w:rPr>
          <w:rFonts w:ascii="Times New Roman" w:hAnsi="Times New Roman"/>
          <w:sz w:val="28"/>
          <w:szCs w:val="28"/>
        </w:rPr>
        <w:t>INSTITUTO ECUATORIANO DE SEGURIDAD SOCIAL</w:t>
      </w:r>
    </w:p>
    <w:p w:rsidR="00451F79" w:rsidRPr="00655EA8" w:rsidRDefault="00D92D93" w:rsidP="00D92D9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55EA8">
        <w:rPr>
          <w:rFonts w:ascii="Times New Roman" w:hAnsi="Times New Roman"/>
          <w:sz w:val="28"/>
          <w:szCs w:val="28"/>
        </w:rPr>
        <w:t xml:space="preserve">PERÍODO ENERO – DICIEMBRE </w:t>
      </w:r>
      <w:r w:rsidRPr="00655EA8">
        <w:rPr>
          <w:rFonts w:ascii="Times New Roman" w:hAnsi="Times New Roman"/>
          <w:i/>
          <w:sz w:val="28"/>
          <w:szCs w:val="28"/>
        </w:rPr>
        <w:t>20</w:t>
      </w:r>
      <w:r w:rsidR="00C554B6" w:rsidRPr="00655EA8">
        <w:rPr>
          <w:rFonts w:ascii="Times New Roman" w:hAnsi="Times New Roman"/>
          <w:i/>
          <w:sz w:val="28"/>
          <w:szCs w:val="28"/>
        </w:rPr>
        <w:t>2</w:t>
      </w:r>
      <w:r w:rsidRPr="00655EA8">
        <w:rPr>
          <w:rFonts w:ascii="Times New Roman" w:hAnsi="Times New Roman"/>
          <w:i/>
          <w:sz w:val="28"/>
          <w:szCs w:val="28"/>
        </w:rPr>
        <w:t>1</w:t>
      </w:r>
    </w:p>
    <w:p w:rsidR="00451F79" w:rsidRPr="00655EA8" w:rsidRDefault="00451F79" w:rsidP="00D92D93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655EA8">
        <w:rPr>
          <w:rFonts w:ascii="Times New Roman" w:hAnsi="Times New Roman"/>
          <w:sz w:val="28"/>
          <w:szCs w:val="28"/>
        </w:rPr>
        <w:t xml:space="preserve">RUC: </w:t>
      </w:r>
      <w:r w:rsidR="0097287D" w:rsidRPr="00655EA8">
        <w:rPr>
          <w:rFonts w:ascii="Times New Roman" w:hAnsi="Times New Roman"/>
          <w:i/>
          <w:sz w:val="28"/>
          <w:szCs w:val="28"/>
        </w:rPr>
        <w:t>0</w:t>
      </w:r>
      <w:r w:rsidR="00C554B6" w:rsidRPr="00655EA8">
        <w:rPr>
          <w:rFonts w:ascii="Times New Roman" w:hAnsi="Times New Roman"/>
          <w:i/>
          <w:sz w:val="28"/>
          <w:szCs w:val="28"/>
        </w:rPr>
        <w:t>660831440001</w:t>
      </w:r>
    </w:p>
    <w:p w:rsidR="00D61897" w:rsidRPr="00655EA8" w:rsidRDefault="00D61897" w:rsidP="00D92D93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</w:p>
    <w:p w:rsidR="00CD65BF" w:rsidRPr="00655EA8" w:rsidRDefault="00CD65BF" w:rsidP="00D92D93">
      <w:pPr>
        <w:jc w:val="both"/>
        <w:rPr>
          <w:rFonts w:ascii="Arial" w:hAnsi="Arial" w:cs="Arial"/>
          <w:b/>
        </w:rPr>
      </w:pPr>
    </w:p>
    <w:p w:rsidR="00CD65BF" w:rsidRPr="00655EA8" w:rsidRDefault="00CD65BF" w:rsidP="00D92D93">
      <w:pPr>
        <w:jc w:val="both"/>
        <w:rPr>
          <w:rFonts w:ascii="Arial" w:hAnsi="Arial" w:cs="Arial"/>
          <w:b/>
        </w:rPr>
      </w:pPr>
    </w:p>
    <w:p w:rsidR="00CD65BF" w:rsidRPr="00655EA8" w:rsidRDefault="00CD65BF" w:rsidP="00D92D93">
      <w:pPr>
        <w:jc w:val="both"/>
        <w:rPr>
          <w:rFonts w:ascii="Arial" w:hAnsi="Arial" w:cs="Arial"/>
          <w:b/>
        </w:rPr>
      </w:pPr>
    </w:p>
    <w:p w:rsidR="00CD65BF" w:rsidRPr="00655EA8" w:rsidRDefault="00CD65BF" w:rsidP="00D92D93">
      <w:pPr>
        <w:jc w:val="both"/>
        <w:rPr>
          <w:rFonts w:ascii="Arial" w:hAnsi="Arial" w:cs="Arial"/>
          <w:b/>
        </w:rPr>
      </w:pPr>
    </w:p>
    <w:p w:rsidR="00CD65BF" w:rsidRPr="00655EA8" w:rsidRDefault="00CD65BF" w:rsidP="00D92D93">
      <w:pPr>
        <w:jc w:val="both"/>
        <w:rPr>
          <w:rFonts w:ascii="Arial" w:hAnsi="Arial" w:cs="Arial"/>
          <w:b/>
        </w:rPr>
      </w:pPr>
    </w:p>
    <w:p w:rsidR="00CD65BF" w:rsidRPr="00655EA8" w:rsidRDefault="00C554B6" w:rsidP="00CD65BF">
      <w:pPr>
        <w:jc w:val="center"/>
        <w:rPr>
          <w:rFonts w:ascii="Times New Roman" w:hAnsi="Times New Roman"/>
          <w:b/>
          <w:i/>
        </w:rPr>
      </w:pPr>
      <w:r w:rsidRPr="00655EA8">
        <w:rPr>
          <w:rFonts w:ascii="Times New Roman" w:hAnsi="Times New Roman"/>
          <w:b/>
          <w:i/>
        </w:rPr>
        <w:t>CENTRO DE SALUD A PARQUE INDUSTRIAL</w:t>
      </w:r>
    </w:p>
    <w:p w:rsidR="00CD65BF" w:rsidRPr="00655EA8" w:rsidRDefault="00CD65BF" w:rsidP="00CD65BF">
      <w:pPr>
        <w:jc w:val="center"/>
        <w:rPr>
          <w:rFonts w:ascii="Times New Roman" w:hAnsi="Times New Roman"/>
          <w:b/>
        </w:rPr>
      </w:pPr>
    </w:p>
    <w:p w:rsidR="00CD65BF" w:rsidRPr="00655EA8" w:rsidRDefault="00CD65BF" w:rsidP="00CD65BF">
      <w:pPr>
        <w:jc w:val="center"/>
        <w:rPr>
          <w:rFonts w:ascii="Times New Roman" w:hAnsi="Times New Roman"/>
          <w:b/>
        </w:rPr>
      </w:pPr>
      <w:r w:rsidRPr="00655EA8">
        <w:rPr>
          <w:rFonts w:ascii="Times New Roman" w:hAnsi="Times New Roman"/>
          <w:b/>
        </w:rPr>
        <w:t>INFORME DE RENDICIÓN DE CUENTAS</w:t>
      </w:r>
    </w:p>
    <w:p w:rsidR="00CD65BF" w:rsidRPr="00655EA8" w:rsidRDefault="00CD65BF" w:rsidP="00CD65BF">
      <w:pPr>
        <w:jc w:val="center"/>
        <w:rPr>
          <w:rFonts w:ascii="Times New Roman" w:hAnsi="Times New Roman"/>
          <w:b/>
        </w:rPr>
      </w:pPr>
    </w:p>
    <w:p w:rsidR="00CD65BF" w:rsidRPr="00655EA8" w:rsidRDefault="00CD65BF" w:rsidP="00D92D93">
      <w:pPr>
        <w:jc w:val="both"/>
        <w:rPr>
          <w:rFonts w:ascii="Arial" w:hAnsi="Arial" w:cs="Arial"/>
          <w:b/>
        </w:rPr>
      </w:pPr>
    </w:p>
    <w:p w:rsidR="009D6BEB" w:rsidRPr="00655EA8" w:rsidRDefault="009D6BEB" w:rsidP="009D6BEB">
      <w:pPr>
        <w:pStyle w:val="TtuloTDC"/>
        <w:jc w:val="both"/>
        <w:rPr>
          <w:rFonts w:ascii="Times New Roman" w:hAnsi="Times New Roman"/>
          <w:color w:val="auto"/>
          <w:sz w:val="24"/>
          <w:szCs w:val="24"/>
        </w:rPr>
      </w:pPr>
      <w:r w:rsidRPr="00655EA8">
        <w:rPr>
          <w:rFonts w:ascii="Times New Roman" w:hAnsi="Times New Roman"/>
          <w:color w:val="auto"/>
          <w:sz w:val="24"/>
          <w:szCs w:val="24"/>
        </w:rPr>
        <w:t>Contenido</w:t>
      </w:r>
    </w:p>
    <w:p w:rsidR="005F39DE" w:rsidRPr="00655EA8" w:rsidRDefault="005F39DE" w:rsidP="005F39DE">
      <w:pPr>
        <w:rPr>
          <w:lang w:val="es-ES" w:eastAsia="en-US"/>
        </w:rPr>
      </w:pPr>
    </w:p>
    <w:p w:rsidR="00B41709" w:rsidRPr="001869D0" w:rsidRDefault="009D6BEB">
      <w:pPr>
        <w:pStyle w:val="TDC1"/>
        <w:tabs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r w:rsidRPr="00655EA8">
        <w:rPr>
          <w:rFonts w:ascii="Calibri" w:hAnsi="Calibri" w:cs="Calibri"/>
        </w:rPr>
        <w:fldChar w:fldCharType="begin"/>
      </w:r>
      <w:r w:rsidRPr="00655EA8">
        <w:rPr>
          <w:rFonts w:ascii="Calibri" w:hAnsi="Calibri" w:cs="Calibri"/>
        </w:rPr>
        <w:instrText xml:space="preserve"> TOC \o "1-3" \h \z \u </w:instrText>
      </w:r>
      <w:r w:rsidRPr="00655EA8">
        <w:rPr>
          <w:rFonts w:ascii="Calibri" w:hAnsi="Calibri" w:cs="Calibri"/>
        </w:rPr>
        <w:fldChar w:fldCharType="separate"/>
      </w:r>
      <w:hyperlink w:anchor="_Toc98767655" w:history="1">
        <w:r w:rsidR="00B41709" w:rsidRPr="000E326B">
          <w:rPr>
            <w:rStyle w:val="Hipervnculo"/>
            <w:noProof/>
          </w:rPr>
          <w:t>Resumen Ejecutivo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_Toc98767655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3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56" w:history="1">
        <w:r w:rsidR="00B41709" w:rsidRPr="000E326B">
          <w:rPr>
            <w:rStyle w:val="Hipervnculo"/>
            <w:noProof/>
          </w:rPr>
          <w:t>1.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Cobertura Institucional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_Toc98767656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4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57" w:history="1">
        <w:r w:rsidR="00B41709" w:rsidRPr="000E326B">
          <w:rPr>
            <w:rStyle w:val="Hipervnculo"/>
            <w:noProof/>
          </w:rPr>
          <w:t>2.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Logros alcanzados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_Toc98767657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5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58" w:history="1">
        <w:r w:rsidR="00B41709" w:rsidRPr="000E326B">
          <w:rPr>
            <w:rStyle w:val="Hipervnculo"/>
            <w:noProof/>
          </w:rPr>
          <w:t>3.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Implementación de políticas públicas para la igualdad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_Toc98767658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5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2"/>
        <w:tabs>
          <w:tab w:val="left" w:pos="660"/>
          <w:tab w:val="right" w:leader="dot" w:pos="8495"/>
        </w:tabs>
        <w:rPr>
          <w:rFonts w:eastAsia="Times New Roman"/>
          <w:noProof/>
          <w:lang w:eastAsia="es-EC"/>
        </w:rPr>
      </w:pPr>
      <w:hyperlink w:anchor="_Toc98767659" w:history="1">
        <w:r w:rsidR="00B41709" w:rsidRPr="000E326B">
          <w:rPr>
            <w:rStyle w:val="Hipervnculo"/>
            <w:rFonts w:ascii="Times New Roman" w:hAnsi="Times New Roman"/>
            <w:noProof/>
          </w:rPr>
          <w:t>a.</w:t>
        </w:r>
        <w:r w:rsidR="00B41709" w:rsidRPr="001869D0">
          <w:rPr>
            <w:rFonts w:eastAsia="Times New Roman"/>
            <w:noProof/>
            <w:lang w:eastAsia="es-EC"/>
          </w:rPr>
          <w:tab/>
        </w:r>
        <w:r w:rsidR="00B41709" w:rsidRPr="000E326B">
          <w:rPr>
            <w:rStyle w:val="Hipervnculo"/>
            <w:rFonts w:ascii="Times New Roman" w:hAnsi="Times New Roman"/>
            <w:noProof/>
          </w:rPr>
          <w:t>Políticas públicas de discapacidades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_Toc98767659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5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60" w:history="1">
        <w:r w:rsidR="00B41709" w:rsidRPr="000E326B">
          <w:rPr>
            <w:rStyle w:val="Hipervnculo"/>
            <w:noProof/>
          </w:rPr>
          <w:t>Objetivos Institucionales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_Toc98767660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5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61" w:history="1">
        <w:r w:rsidR="00B41709" w:rsidRPr="000E326B">
          <w:rPr>
            <w:rStyle w:val="Hipervnculo"/>
            <w:noProof/>
          </w:rPr>
          <w:t>4.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Ejecución programáticas y presupuestaria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_Toc98767661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6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62" w:history="1">
        <w:r w:rsidR="00B41709" w:rsidRPr="000E326B">
          <w:rPr>
            <w:rStyle w:val="Hipervnculo"/>
            <w:noProof/>
          </w:rPr>
          <w:t>5.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Procesos de contratación y compras públicas de bienes y servicios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_Toc98767662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6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63" w:history="1">
        <w:r w:rsidR="00B41709" w:rsidRPr="000E326B">
          <w:rPr>
            <w:rStyle w:val="Hipervnculo"/>
            <w:noProof/>
          </w:rPr>
          <w:t>6.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Enajenación de bienes, expropiaciones y donaciones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_Toc98767663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7</w:t>
        </w:r>
        <w:r w:rsidR="00B41709">
          <w:rPr>
            <w:noProof/>
            <w:webHidden/>
          </w:rPr>
          <w:fldChar w:fldCharType="end"/>
        </w:r>
      </w:hyperlink>
    </w:p>
    <w:p w:rsidR="00B41709" w:rsidRPr="001869D0" w:rsidRDefault="0075353D">
      <w:pPr>
        <w:pStyle w:val="TDC1"/>
        <w:tabs>
          <w:tab w:val="left" w:pos="440"/>
          <w:tab w:val="right" w:leader="dot" w:pos="8495"/>
        </w:tabs>
        <w:rPr>
          <w:rFonts w:ascii="Calibri" w:eastAsia="Times New Roman" w:hAnsi="Calibri"/>
          <w:noProof/>
          <w:sz w:val="22"/>
          <w:szCs w:val="22"/>
          <w:lang w:val="es-EC" w:eastAsia="es-EC"/>
        </w:rPr>
      </w:pPr>
      <w:hyperlink w:anchor="_Toc98767664" w:history="1">
        <w:r w:rsidR="00B41709" w:rsidRPr="000E326B">
          <w:rPr>
            <w:rStyle w:val="Hipervnculo"/>
            <w:noProof/>
          </w:rPr>
          <w:t>7.</w:t>
        </w:r>
        <w:r w:rsidR="00B41709" w:rsidRPr="001869D0">
          <w:rPr>
            <w:rFonts w:ascii="Calibri" w:eastAsia="Times New Roman" w:hAnsi="Calibri"/>
            <w:noProof/>
            <w:sz w:val="22"/>
            <w:szCs w:val="22"/>
            <w:lang w:val="es-EC" w:eastAsia="es-EC"/>
          </w:rPr>
          <w:tab/>
        </w:r>
        <w:r w:rsidR="00B41709" w:rsidRPr="000E326B">
          <w:rPr>
            <w:rStyle w:val="Hipervnculo"/>
            <w:noProof/>
          </w:rPr>
          <w:t>Incorporación de recomendaciones y dictámenes por parte de las entidades de la Función de Transparencia y Control Social, y de la Procuraduría General del Estado</w:t>
        </w:r>
        <w:r w:rsidR="00B41709">
          <w:rPr>
            <w:noProof/>
            <w:webHidden/>
          </w:rPr>
          <w:tab/>
        </w:r>
        <w:r w:rsidR="00B41709">
          <w:rPr>
            <w:noProof/>
            <w:webHidden/>
          </w:rPr>
          <w:fldChar w:fldCharType="begin"/>
        </w:r>
        <w:r w:rsidR="00B41709">
          <w:rPr>
            <w:noProof/>
            <w:webHidden/>
          </w:rPr>
          <w:instrText xml:space="preserve"> PAGEREF _Toc98767664 \h </w:instrText>
        </w:r>
        <w:r w:rsidR="00B41709">
          <w:rPr>
            <w:noProof/>
            <w:webHidden/>
          </w:rPr>
        </w:r>
        <w:r w:rsidR="00B41709">
          <w:rPr>
            <w:noProof/>
            <w:webHidden/>
          </w:rPr>
          <w:fldChar w:fldCharType="separate"/>
        </w:r>
        <w:r w:rsidR="00B41709">
          <w:rPr>
            <w:noProof/>
            <w:webHidden/>
          </w:rPr>
          <w:t>7</w:t>
        </w:r>
        <w:r w:rsidR="00B41709">
          <w:rPr>
            <w:noProof/>
            <w:webHidden/>
          </w:rPr>
          <w:fldChar w:fldCharType="end"/>
        </w:r>
      </w:hyperlink>
    </w:p>
    <w:p w:rsidR="009D6BEB" w:rsidRPr="00655EA8" w:rsidRDefault="009D6BEB" w:rsidP="0097287D">
      <w:pPr>
        <w:spacing w:line="360" w:lineRule="auto"/>
        <w:jc w:val="both"/>
        <w:rPr>
          <w:rFonts w:ascii="Calibri" w:hAnsi="Calibri" w:cs="Calibri"/>
        </w:rPr>
      </w:pPr>
      <w:r w:rsidRPr="00655EA8">
        <w:rPr>
          <w:rFonts w:ascii="Calibri" w:hAnsi="Calibri" w:cs="Calibri"/>
          <w:b/>
          <w:bCs/>
          <w:lang w:val="es-ES"/>
        </w:rPr>
        <w:fldChar w:fldCharType="end"/>
      </w:r>
    </w:p>
    <w:p w:rsidR="00451F79" w:rsidRPr="00655EA8" w:rsidRDefault="00B41709" w:rsidP="00B41709">
      <w:pPr>
        <w:spacing w:line="360" w:lineRule="auto"/>
        <w:jc w:val="both"/>
        <w:rPr>
          <w:sz w:val="28"/>
        </w:rPr>
      </w:pPr>
      <w:r>
        <w:rPr>
          <w:rFonts w:ascii="Calibri" w:hAnsi="Calibri" w:cs="Calibri"/>
          <w:b/>
        </w:rPr>
        <w:br w:type="page"/>
      </w:r>
      <w:bookmarkStart w:id="0" w:name="_Toc8811659"/>
      <w:r w:rsidR="00D92D93" w:rsidRPr="00655EA8">
        <w:rPr>
          <w:sz w:val="28"/>
        </w:rPr>
        <w:lastRenderedPageBreak/>
        <w:t>Introducción</w:t>
      </w:r>
      <w:bookmarkEnd w:id="0"/>
    </w:p>
    <w:p w:rsidR="00C554B6" w:rsidRPr="00655EA8" w:rsidRDefault="00C554B6" w:rsidP="00C554B6">
      <w:pPr>
        <w:tabs>
          <w:tab w:val="left" w:pos="3191"/>
        </w:tabs>
        <w:spacing w:before="240" w:after="240" w:line="276" w:lineRule="auto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De acuerdo a lo dispuesto en el Artículo 90 de la Ley Orgánica de Participación Ciudadana que establece la realización del Proceso de Rendición de Cuentas, y considerando que la transparencia y vinculación con la ciudadanía son principios de la administración pública actual, de manera que la ciudadanía tenga conocimiento de manera oportuna, clara y veraz las principales funciones y resultados alcanzados durante el año 2021, por esta unidad médica.</w:t>
      </w:r>
    </w:p>
    <w:p w:rsidR="00C554B6" w:rsidRPr="00655EA8" w:rsidRDefault="00C554B6" w:rsidP="00C554B6">
      <w:pPr>
        <w:tabs>
          <w:tab w:val="left" w:pos="3191"/>
        </w:tabs>
        <w:spacing w:before="240" w:after="240" w:line="276" w:lineRule="auto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 xml:space="preserve">En este sentido, a </w:t>
      </w:r>
      <w:r w:rsidR="00487482" w:rsidRPr="00655EA8">
        <w:rPr>
          <w:rFonts w:eastAsia="Calibri" w:cs="Arial"/>
          <w:sz w:val="22"/>
          <w:lang w:val="es-EC" w:eastAsia="en-US"/>
        </w:rPr>
        <w:t>continuación,</w:t>
      </w:r>
      <w:r w:rsidRPr="00655EA8">
        <w:rPr>
          <w:rFonts w:eastAsia="Calibri" w:cs="Arial"/>
          <w:sz w:val="22"/>
          <w:lang w:val="es-EC" w:eastAsia="en-US"/>
        </w:rPr>
        <w:t xml:space="preserve"> se presenta el Informe de Rendición de Cuentas correspondiente a la gestión del Centro de Salud A Parque Industrial, mismo que ha sido elaborado en el marco del instructivo emitido por el Instituto Ecuatoriano de Seguridad Social para este propósito.</w:t>
      </w:r>
    </w:p>
    <w:p w:rsidR="00C554B6" w:rsidRPr="00655EA8" w:rsidRDefault="00C554B6" w:rsidP="00C554B6">
      <w:pPr>
        <w:tabs>
          <w:tab w:val="left" w:pos="3191"/>
        </w:tabs>
        <w:spacing w:before="240" w:after="240" w:line="276" w:lineRule="auto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Al respecto, y en el marco de la información que consta en el “Formulario de Informe de rendición de cuentas establecido por el Consejo de Participación Ciudadana”, se encuentra difundido este informe y todos sus anexos en el Portal Web del Instituto Ecuatoriano de Seguridad Social (https://www.iess.gob.ec/), donde se exponen los aspectos considerados de mayor relevancia.</w:t>
      </w:r>
    </w:p>
    <w:p w:rsidR="00D92D93" w:rsidRPr="00655EA8" w:rsidRDefault="00D92D93" w:rsidP="00636B51">
      <w:pPr>
        <w:pStyle w:val="Ttulo1"/>
        <w:jc w:val="both"/>
        <w:rPr>
          <w:sz w:val="28"/>
        </w:rPr>
      </w:pPr>
      <w:bookmarkStart w:id="1" w:name="_Toc8811660"/>
      <w:bookmarkStart w:id="2" w:name="_Toc98767655"/>
      <w:r w:rsidRPr="00655EA8">
        <w:rPr>
          <w:sz w:val="28"/>
        </w:rPr>
        <w:t>Resumen Ejecutivo</w:t>
      </w:r>
      <w:bookmarkEnd w:id="1"/>
      <w:bookmarkEnd w:id="2"/>
    </w:p>
    <w:p w:rsidR="00F720DA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Durante el período de enero a diciembre del año 202</w:t>
      </w:r>
      <w:r w:rsidR="00F720DA" w:rsidRPr="00655EA8">
        <w:rPr>
          <w:rFonts w:eastAsia="Calibri" w:cs="Arial"/>
          <w:sz w:val="22"/>
          <w:lang w:val="es-EC" w:eastAsia="en-US"/>
        </w:rPr>
        <w:t>1</w:t>
      </w:r>
      <w:r w:rsidRPr="00655EA8">
        <w:rPr>
          <w:rFonts w:eastAsia="Calibri" w:cs="Arial"/>
          <w:sz w:val="22"/>
          <w:lang w:val="es-EC" w:eastAsia="en-US"/>
        </w:rPr>
        <w:t>, el Centro de Salud A Parque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Industrial, asumió cambios de manera abrupta debido a la pandemia provocada por el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 xml:space="preserve">virus del COVID 19, por </w:t>
      </w:r>
      <w:r w:rsidR="00487482" w:rsidRPr="00655EA8">
        <w:rPr>
          <w:rFonts w:eastAsia="Calibri" w:cs="Arial"/>
          <w:sz w:val="22"/>
          <w:lang w:val="es-EC" w:eastAsia="en-US"/>
        </w:rPr>
        <w:t>ende,</w:t>
      </w:r>
      <w:r w:rsidRPr="00655EA8">
        <w:rPr>
          <w:rFonts w:eastAsia="Calibri" w:cs="Arial"/>
          <w:sz w:val="22"/>
          <w:lang w:val="es-EC" w:eastAsia="en-US"/>
        </w:rPr>
        <w:t xml:space="preserve"> se dieron disminuciones en el cumplimiento de las metas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propuestas, en el cuanto a la cobertura de atención en Medicina General, Medicina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Preventiva, programa de visitas domiciliarias.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</w:p>
    <w:p w:rsidR="00F720DA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 xml:space="preserve">El monto de facturación preliminar es de </w:t>
      </w:r>
      <w:r w:rsidR="00F720DA" w:rsidRPr="00655EA8">
        <w:rPr>
          <w:rFonts w:eastAsia="Calibri" w:cs="Arial"/>
          <w:sz w:val="22"/>
          <w:lang w:val="es-EC" w:eastAsia="en-US"/>
        </w:rPr>
        <w:t xml:space="preserve">USD 474,438.87 </w:t>
      </w:r>
      <w:r w:rsidRPr="00655EA8">
        <w:rPr>
          <w:rFonts w:eastAsia="Calibri" w:cs="Arial"/>
          <w:sz w:val="22"/>
          <w:lang w:val="es-EC" w:eastAsia="en-US"/>
        </w:rPr>
        <w:t>y el monto de facturación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 xml:space="preserve">aprobada por auditoría médica es de </w:t>
      </w:r>
      <w:r w:rsidR="00F720DA" w:rsidRPr="00655EA8">
        <w:rPr>
          <w:rFonts w:eastAsia="Calibri" w:cs="Arial"/>
          <w:sz w:val="22"/>
          <w:lang w:val="es-EC" w:eastAsia="en-US"/>
        </w:rPr>
        <w:t>USD 376,091.39 (</w:t>
      </w:r>
      <w:r w:rsidR="00487482" w:rsidRPr="00655EA8">
        <w:rPr>
          <w:rFonts w:eastAsia="Calibri" w:cs="Arial"/>
          <w:sz w:val="22"/>
          <w:lang w:val="es-EC" w:eastAsia="en-US"/>
        </w:rPr>
        <w:t>diciembre</w:t>
      </w:r>
      <w:r w:rsidR="00F720DA" w:rsidRPr="00655EA8">
        <w:rPr>
          <w:rFonts w:eastAsia="Calibri" w:cs="Arial"/>
          <w:sz w:val="22"/>
          <w:lang w:val="es-EC" w:eastAsia="en-US"/>
        </w:rPr>
        <w:t xml:space="preserve"> 2021 aún s</w:t>
      </w:r>
      <w:r w:rsidR="00F3475F" w:rsidRPr="00655EA8">
        <w:rPr>
          <w:rFonts w:eastAsia="Calibri" w:cs="Arial"/>
          <w:sz w:val="22"/>
          <w:lang w:val="es-EC" w:eastAsia="en-US"/>
        </w:rPr>
        <w:t>e encuentra pendiente de aprobación</w:t>
      </w:r>
      <w:r w:rsidR="00F720DA" w:rsidRPr="00655EA8">
        <w:rPr>
          <w:rFonts w:eastAsia="Calibri" w:cs="Arial"/>
          <w:sz w:val="22"/>
          <w:lang w:val="es-EC" w:eastAsia="en-US"/>
        </w:rPr>
        <w:t xml:space="preserve">) </w:t>
      </w:r>
      <w:r w:rsidRPr="00655EA8">
        <w:rPr>
          <w:rFonts w:eastAsia="Calibri" w:cs="Arial"/>
          <w:sz w:val="22"/>
          <w:lang w:val="es-EC" w:eastAsia="en-US"/>
        </w:rPr>
        <w:t>como resultado se produjo una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reducción en comparación a lo realizado en el año 20</w:t>
      </w:r>
      <w:r w:rsidR="00F720DA" w:rsidRPr="00655EA8">
        <w:rPr>
          <w:rFonts w:eastAsia="Calibri" w:cs="Arial"/>
          <w:sz w:val="22"/>
          <w:lang w:val="es-EC" w:eastAsia="en-US"/>
        </w:rPr>
        <w:t>20</w:t>
      </w:r>
      <w:r w:rsidRPr="00655EA8">
        <w:rPr>
          <w:rFonts w:eastAsia="Calibri" w:cs="Arial"/>
          <w:sz w:val="22"/>
          <w:lang w:val="es-EC" w:eastAsia="en-US"/>
        </w:rPr>
        <w:t xml:space="preserve">. 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El motivo de esta disminución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se origina en la pandemia COVID 19 que tuvo sus inicios en el mes de marzo del 2020</w:t>
      </w:r>
      <w:r w:rsidR="00852F87" w:rsidRPr="00655EA8">
        <w:rPr>
          <w:rFonts w:eastAsia="Calibri" w:cs="Arial"/>
          <w:sz w:val="22"/>
          <w:lang w:val="es-EC" w:eastAsia="en-US"/>
        </w:rPr>
        <w:t xml:space="preserve"> y continua hasta nuestros días;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esto ocasionó que por actividades de prevención y desinfección entre consultas se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incrementó el tiempo destinado a la atención de los pacientes, y a su vez esto genera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una disminución en el número de pacientes que pueden ser agendados por los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profesionales de salud de la unidad médica.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El abastecimiento de fármacos correspondiente al nivel de atención con un valor de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 xml:space="preserve">USD </w:t>
      </w:r>
      <w:r w:rsidR="00F720DA" w:rsidRPr="00655EA8">
        <w:rPr>
          <w:rFonts w:eastAsia="Calibri" w:cs="Arial"/>
          <w:sz w:val="22"/>
          <w:lang w:val="es-EC" w:eastAsia="en-US"/>
        </w:rPr>
        <w:t xml:space="preserve">76,782.23 </w:t>
      </w:r>
      <w:r w:rsidRPr="00655EA8">
        <w:rPr>
          <w:rFonts w:eastAsia="Calibri" w:cs="Arial"/>
          <w:sz w:val="22"/>
          <w:lang w:val="es-EC" w:eastAsia="en-US"/>
        </w:rPr>
        <w:t>insumos médicos y biomateriales odontológicos por un monto de USD</w:t>
      </w:r>
      <w:r w:rsidR="00F720DA" w:rsidRPr="00655EA8">
        <w:rPr>
          <w:rFonts w:eastAsia="Calibri" w:cs="Arial"/>
          <w:sz w:val="22"/>
          <w:lang w:val="es-EC" w:eastAsia="en-US"/>
        </w:rPr>
        <w:t xml:space="preserve"> 44,026.85</w:t>
      </w:r>
      <w:r w:rsidRPr="00655EA8">
        <w:rPr>
          <w:rFonts w:eastAsia="Calibri" w:cs="Arial"/>
          <w:sz w:val="22"/>
          <w:lang w:val="es-EC" w:eastAsia="en-US"/>
        </w:rPr>
        <w:t xml:space="preserve">, de esa manera se abastecido </w:t>
      </w:r>
      <w:r w:rsidR="00487482" w:rsidRPr="00655EA8">
        <w:rPr>
          <w:rFonts w:eastAsia="Calibri" w:cs="Arial"/>
          <w:sz w:val="22"/>
          <w:lang w:val="es-EC" w:eastAsia="en-US"/>
        </w:rPr>
        <w:t>al 82</w:t>
      </w:r>
      <w:r w:rsidRPr="00655EA8">
        <w:rPr>
          <w:rFonts w:eastAsia="Calibri" w:cs="Arial"/>
          <w:sz w:val="22"/>
          <w:lang w:val="es-EC" w:eastAsia="en-US"/>
        </w:rPr>
        <w:t>% con el fin de brindar una atención de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calidad.</w:t>
      </w:r>
    </w:p>
    <w:p w:rsidR="00C554B6" w:rsidRPr="00655EA8" w:rsidRDefault="00F62FF2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E</w:t>
      </w:r>
      <w:r w:rsidR="00C554B6" w:rsidRPr="00655EA8">
        <w:rPr>
          <w:rFonts w:eastAsia="Calibri" w:cs="Arial"/>
          <w:sz w:val="22"/>
          <w:lang w:val="es-EC" w:eastAsia="en-US"/>
        </w:rPr>
        <w:t xml:space="preserve">l porcentaje de ejecución presupuestaria fue del </w:t>
      </w:r>
      <w:r w:rsidRPr="00655EA8">
        <w:rPr>
          <w:rFonts w:eastAsia="Calibri" w:cs="Arial"/>
          <w:sz w:val="22"/>
          <w:lang w:val="es-EC" w:eastAsia="en-US"/>
        </w:rPr>
        <w:t>50.65</w:t>
      </w:r>
      <w:r w:rsidR="00487482" w:rsidRPr="00655EA8">
        <w:rPr>
          <w:rFonts w:eastAsia="Calibri" w:cs="Arial"/>
          <w:sz w:val="22"/>
          <w:lang w:val="es-EC" w:eastAsia="en-US"/>
        </w:rPr>
        <w:t>%.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El horario de atención del año 202</w:t>
      </w:r>
      <w:r w:rsidR="00F62FF2" w:rsidRPr="00655EA8">
        <w:rPr>
          <w:rFonts w:eastAsia="Calibri" w:cs="Arial"/>
          <w:sz w:val="22"/>
          <w:lang w:val="es-EC" w:eastAsia="en-US"/>
        </w:rPr>
        <w:t>1</w:t>
      </w:r>
      <w:r w:rsidRPr="00655EA8">
        <w:rPr>
          <w:rFonts w:eastAsia="Calibri" w:cs="Arial"/>
          <w:sz w:val="22"/>
          <w:lang w:val="es-EC" w:eastAsia="en-US"/>
        </w:rPr>
        <w:t>, se mantuvo de lunes a viernes de 12 horas y los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="00487482" w:rsidRPr="00655EA8">
        <w:rPr>
          <w:rFonts w:eastAsia="Calibri" w:cs="Arial"/>
          <w:sz w:val="22"/>
          <w:lang w:val="es-EC" w:eastAsia="en-US"/>
        </w:rPr>
        <w:t>días sábados</w:t>
      </w:r>
      <w:r w:rsidRPr="00655EA8">
        <w:rPr>
          <w:rFonts w:eastAsia="Calibri" w:cs="Arial"/>
          <w:sz w:val="22"/>
          <w:lang w:val="es-EC" w:eastAsia="en-US"/>
        </w:rPr>
        <w:t xml:space="preserve"> de 8 horas.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Como medida para reducir el ausentismo se implementó el agendamiento en la unidad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médica en un 85,72</w:t>
      </w:r>
      <w:r w:rsidR="00F62FF2" w:rsidRPr="00655EA8">
        <w:rPr>
          <w:rFonts w:eastAsia="Calibri" w:cs="Arial"/>
          <w:sz w:val="22"/>
          <w:lang w:val="es-EC" w:eastAsia="en-US"/>
        </w:rPr>
        <w:t>%</w:t>
      </w:r>
      <w:r w:rsidRPr="00655EA8">
        <w:rPr>
          <w:rFonts w:eastAsia="Calibri" w:cs="Arial"/>
          <w:sz w:val="22"/>
          <w:lang w:val="es-EC" w:eastAsia="en-US"/>
        </w:rPr>
        <w:t>, mientras que el agendamiento a través de Call Center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continuó por el 14,28</w:t>
      </w:r>
      <w:r w:rsidR="00F62FF2" w:rsidRPr="00655EA8">
        <w:rPr>
          <w:rFonts w:eastAsia="Calibri" w:cs="Arial"/>
          <w:sz w:val="22"/>
          <w:lang w:val="es-EC" w:eastAsia="en-US"/>
        </w:rPr>
        <w:t xml:space="preserve">% </w:t>
      </w:r>
      <w:r w:rsidRPr="00655EA8">
        <w:rPr>
          <w:rFonts w:eastAsia="Calibri" w:cs="Arial"/>
          <w:sz w:val="22"/>
          <w:lang w:val="es-EC" w:eastAsia="en-US"/>
        </w:rPr>
        <w:t>restante. De esta manera se ha logrado reducir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significativamente el ausentismo alcanzando un indicador de 2,37%.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Se ha dado cumplimiento a todas las normativas vigentes por el Ministerio de Salud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Pública, por lo que los permisos de funcionamiento para la unidad médica y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ambulancia se encuentran vigentes.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 xml:space="preserve">El servicio de ambulancia anclada al servicio ECU-911 </w:t>
      </w:r>
      <w:r w:rsidR="00B029CE" w:rsidRPr="00655EA8">
        <w:rPr>
          <w:rFonts w:eastAsia="Calibri" w:cs="Arial"/>
          <w:sz w:val="22"/>
          <w:lang w:val="es-EC" w:eastAsia="en-US"/>
        </w:rPr>
        <w:t>continúa</w:t>
      </w:r>
      <w:r w:rsidRPr="00655EA8">
        <w:rPr>
          <w:rFonts w:eastAsia="Calibri" w:cs="Arial"/>
          <w:sz w:val="22"/>
          <w:lang w:val="es-EC" w:eastAsia="en-US"/>
        </w:rPr>
        <w:t xml:space="preserve"> operando de manera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normal operando las 24 horas del día, los 7 días de la semana.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Acorde a las políticas de capacitación continua y mejoramiento de las capacidades,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actitudes y aptitudes del personal de salud se realizó cursos virtuales especializados en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la plataforma IESSEDUCA.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Se realizó la programación anual para mantenimiento correctivo y preventivo de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equipo médico de esta manera se mantienen en óptimas condiciones para brindad una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atención de calidad.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 xml:space="preserve">Se implementó el triaje respiratorio de </w:t>
      </w:r>
      <w:r w:rsidR="00F62FF2" w:rsidRPr="00655EA8">
        <w:rPr>
          <w:rFonts w:eastAsia="Calibri" w:cs="Arial"/>
          <w:sz w:val="22"/>
          <w:lang w:val="es-EC" w:eastAsia="en-US"/>
        </w:rPr>
        <w:t xml:space="preserve">enero </w:t>
      </w:r>
      <w:r w:rsidRPr="00655EA8">
        <w:rPr>
          <w:rFonts w:eastAsia="Calibri" w:cs="Arial"/>
          <w:sz w:val="22"/>
          <w:lang w:val="es-EC" w:eastAsia="en-US"/>
        </w:rPr>
        <w:t>a diciembre del año 202</w:t>
      </w:r>
      <w:r w:rsidR="00F62FF2" w:rsidRPr="00655EA8">
        <w:rPr>
          <w:rFonts w:eastAsia="Calibri" w:cs="Arial"/>
          <w:sz w:val="22"/>
          <w:lang w:val="es-EC" w:eastAsia="en-US"/>
        </w:rPr>
        <w:t>1</w:t>
      </w:r>
      <w:r w:rsidRPr="00655EA8">
        <w:rPr>
          <w:rFonts w:eastAsia="Calibri" w:cs="Arial"/>
          <w:sz w:val="22"/>
          <w:lang w:val="es-EC" w:eastAsia="en-US"/>
        </w:rPr>
        <w:t>, atendiendo un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 xml:space="preserve">total de </w:t>
      </w:r>
      <w:r w:rsidR="001F7F68" w:rsidRPr="00655EA8">
        <w:rPr>
          <w:rFonts w:eastAsia="Calibri" w:cs="Arial"/>
          <w:sz w:val="22"/>
          <w:lang w:val="es-EC" w:eastAsia="en-US"/>
        </w:rPr>
        <w:t>170</w:t>
      </w:r>
      <w:r w:rsidR="000552FD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pacientes sospechosos y casos confirmados de COVID 19, durante el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tiempo en que la pandemia acechaba cada vez más a las familias, se brindó atención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médica integral a los afiliados vulnerable, ya sean estos por su avanzada edad,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discapacidades y por las enfermedades crónicas, con el objetivo de que no se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expusieran al riesgo de contagiarse con el virus COVID 19.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 xml:space="preserve">El Centro de Salud A Parque Industrial ha proveído atención médica a </w:t>
      </w:r>
      <w:r w:rsidR="00F62FF2" w:rsidRPr="00655EA8">
        <w:rPr>
          <w:rFonts w:eastAsia="Calibri" w:cs="Arial"/>
          <w:sz w:val="22"/>
          <w:lang w:val="es-EC" w:eastAsia="en-US"/>
        </w:rPr>
        <w:t xml:space="preserve">20,884 </w:t>
      </w:r>
      <w:r w:rsidRPr="00655EA8">
        <w:rPr>
          <w:rFonts w:eastAsia="Calibri" w:cs="Arial"/>
          <w:sz w:val="22"/>
          <w:lang w:val="es-EC" w:eastAsia="en-US"/>
        </w:rPr>
        <w:t>pacientes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 xml:space="preserve">siendo estos de género masculino </w:t>
      </w:r>
      <w:r w:rsidR="00F62FF2" w:rsidRPr="00655EA8">
        <w:rPr>
          <w:rFonts w:eastAsia="Calibri" w:cs="Arial"/>
          <w:sz w:val="22"/>
          <w:lang w:val="es-EC" w:eastAsia="en-US"/>
        </w:rPr>
        <w:t xml:space="preserve">(8969) </w:t>
      </w:r>
      <w:r w:rsidRPr="00655EA8">
        <w:rPr>
          <w:rFonts w:eastAsia="Calibri" w:cs="Arial"/>
          <w:sz w:val="22"/>
          <w:lang w:val="es-EC" w:eastAsia="en-US"/>
        </w:rPr>
        <w:t xml:space="preserve">y femenino </w:t>
      </w:r>
      <w:r w:rsidR="00F62FF2" w:rsidRPr="00655EA8">
        <w:rPr>
          <w:rFonts w:eastAsia="Calibri" w:cs="Arial"/>
          <w:sz w:val="22"/>
          <w:lang w:val="es-EC" w:eastAsia="en-US"/>
        </w:rPr>
        <w:t xml:space="preserve">(11915) </w:t>
      </w:r>
      <w:r w:rsidRPr="00655EA8">
        <w:rPr>
          <w:rFonts w:eastAsia="Calibri" w:cs="Arial"/>
          <w:sz w:val="22"/>
          <w:lang w:val="es-EC" w:eastAsia="en-US"/>
        </w:rPr>
        <w:t>de todas las edades.</w:t>
      </w:r>
    </w:p>
    <w:p w:rsidR="00785741" w:rsidRPr="00655EA8" w:rsidRDefault="00C554B6" w:rsidP="00C554B6">
      <w:pPr>
        <w:spacing w:before="240" w:after="240"/>
        <w:jc w:val="both"/>
      </w:pPr>
      <w:r w:rsidRPr="00655EA8">
        <w:rPr>
          <w:rFonts w:eastAsia="Calibri" w:cs="Arial"/>
          <w:sz w:val="22"/>
          <w:lang w:val="es-EC" w:eastAsia="en-US"/>
        </w:rPr>
        <w:t>Se trabajó mancomunadamente con el Hospital General IESS Riobamba, con la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finalidad de dotar la medicación y darles apoyo en cuanto a la atención médica para</w:t>
      </w:r>
      <w:r w:rsidR="00F62FF2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los pacientes</w:t>
      </w:r>
    </w:p>
    <w:p w:rsidR="00D92D93" w:rsidRPr="00655EA8" w:rsidRDefault="00D92D93" w:rsidP="00636B51">
      <w:pPr>
        <w:pStyle w:val="Ttulo1"/>
        <w:numPr>
          <w:ilvl w:val="0"/>
          <w:numId w:val="3"/>
        </w:numPr>
        <w:jc w:val="both"/>
        <w:rPr>
          <w:sz w:val="28"/>
        </w:rPr>
      </w:pPr>
      <w:bookmarkStart w:id="3" w:name="_Toc8811661"/>
      <w:bookmarkStart w:id="4" w:name="_Toc98767656"/>
      <w:r w:rsidRPr="00655EA8">
        <w:rPr>
          <w:sz w:val="28"/>
        </w:rPr>
        <w:t>Cobertura Institucional</w:t>
      </w:r>
      <w:bookmarkEnd w:id="3"/>
      <w:bookmarkEnd w:id="4"/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El Centro de Salud A Parque Industrial está ubicada en la Provincia de Chimborazo,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Cantón Riobamba, Parroquia Maldonado al sur de la ciudad, está edificada en un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terreno de 3.360 metros cuadrados, donado por el Parque Industrial Riobamba el 26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de noviembre de 1.981, fue creada en la administración del Doctor Joaquín Viteri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Llanga Director General del IESS, el Doctor Diego Torres B., Director Provincial de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Chimborazo Regional 5, con la colaboración del señor Luis Jarrín Ampudia Director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Nacional del Seguro Campesino, el 07 de agosto de 1.992, con la finalidad de brindar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atención ambulatoria de primer nivel.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El Centro de Salud A Parque Industrial es una edificación de 300 m2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, que oferta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atención primaria de salud a los afiliados con un paquete básico de prestaciones de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salud en Medicina General, Medicina Preventiva, Medicina Familiar, Visita Domiciliaria,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Odontología, Servicios de Farmacia y Ambulancia.</w:t>
      </w:r>
    </w:p>
    <w:p w:rsidR="00C554B6" w:rsidRPr="00655EA8" w:rsidRDefault="00C554B6" w:rsidP="00C554B6">
      <w:p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Se cuenta con 39 barrios, 68 empresas, 35 centros educativos que forman parte de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nuestra área de cobertura, con una población de 2</w:t>
      </w:r>
      <w:r w:rsidR="002834B3">
        <w:rPr>
          <w:rFonts w:eastAsia="Calibri" w:cs="Arial"/>
          <w:sz w:val="22"/>
          <w:lang w:val="es-EC" w:eastAsia="en-US"/>
        </w:rPr>
        <w:t>0</w:t>
      </w:r>
      <w:r w:rsidRPr="00655EA8">
        <w:rPr>
          <w:rFonts w:eastAsia="Calibri" w:cs="Arial"/>
          <w:sz w:val="22"/>
          <w:lang w:val="es-EC" w:eastAsia="en-US"/>
        </w:rPr>
        <w:t>.</w:t>
      </w:r>
      <w:r w:rsidR="00F33830" w:rsidRPr="00655EA8">
        <w:rPr>
          <w:rFonts w:eastAsia="Calibri" w:cs="Arial"/>
          <w:sz w:val="22"/>
          <w:lang w:val="es-EC" w:eastAsia="en-US"/>
        </w:rPr>
        <w:t>884</w:t>
      </w:r>
      <w:r w:rsidRPr="00655EA8">
        <w:rPr>
          <w:rFonts w:eastAsia="Calibri" w:cs="Arial"/>
          <w:sz w:val="22"/>
          <w:lang w:val="es-EC" w:eastAsia="en-US"/>
        </w:rPr>
        <w:t xml:space="preserve"> usuarios de los cuales </w:t>
      </w:r>
      <w:r w:rsidR="00F33830" w:rsidRPr="00655EA8">
        <w:rPr>
          <w:rFonts w:eastAsia="Calibri" w:cs="Arial"/>
          <w:sz w:val="22"/>
          <w:lang w:val="es-EC" w:eastAsia="en-US"/>
        </w:rPr>
        <w:t>8</w:t>
      </w:r>
      <w:r w:rsidRPr="00655EA8">
        <w:rPr>
          <w:rFonts w:eastAsia="Calibri" w:cs="Arial"/>
          <w:sz w:val="22"/>
          <w:lang w:val="es-EC" w:eastAsia="en-US"/>
        </w:rPr>
        <w:t>.969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 xml:space="preserve">son hombres y </w:t>
      </w:r>
      <w:r w:rsidR="00F33830" w:rsidRPr="00655EA8">
        <w:rPr>
          <w:rFonts w:eastAsia="Calibri" w:cs="Arial"/>
          <w:sz w:val="22"/>
          <w:lang w:val="es-EC" w:eastAsia="en-US"/>
        </w:rPr>
        <w:t>11</w:t>
      </w:r>
      <w:r w:rsidRPr="00655EA8">
        <w:rPr>
          <w:rFonts w:eastAsia="Calibri" w:cs="Arial"/>
          <w:sz w:val="22"/>
          <w:lang w:val="es-EC" w:eastAsia="en-US"/>
        </w:rPr>
        <w:t>.</w:t>
      </w:r>
      <w:r w:rsidR="00F33830" w:rsidRPr="00655EA8">
        <w:rPr>
          <w:rFonts w:eastAsia="Calibri" w:cs="Arial"/>
          <w:sz w:val="22"/>
          <w:lang w:val="es-EC" w:eastAsia="en-US"/>
        </w:rPr>
        <w:t>915</w:t>
      </w:r>
      <w:r w:rsidRPr="00655EA8">
        <w:rPr>
          <w:rFonts w:eastAsia="Calibri" w:cs="Arial"/>
          <w:sz w:val="22"/>
          <w:lang w:val="es-EC" w:eastAsia="en-US"/>
        </w:rPr>
        <w:t xml:space="preserve"> son mujeres, según los registros estadísticos del Centro de Salud</w:t>
      </w:r>
      <w:r w:rsidR="00F33830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A Parque Industrial</w:t>
      </w:r>
      <w:r w:rsidRPr="00655EA8">
        <w:rPr>
          <w:rFonts w:eastAsia="Calibri" w:cs="Arial"/>
          <w:sz w:val="22"/>
          <w:lang w:val="es-EC" w:eastAsia="en-US"/>
        </w:rPr>
        <w:cr/>
      </w:r>
    </w:p>
    <w:p w:rsidR="00D92D93" w:rsidRPr="00655EA8" w:rsidRDefault="00D92D93" w:rsidP="00636B51">
      <w:pPr>
        <w:pStyle w:val="Ttulo1"/>
        <w:numPr>
          <w:ilvl w:val="0"/>
          <w:numId w:val="3"/>
        </w:numPr>
        <w:jc w:val="both"/>
        <w:rPr>
          <w:sz w:val="28"/>
        </w:rPr>
      </w:pPr>
      <w:bookmarkStart w:id="5" w:name="_Toc8811662"/>
      <w:bookmarkStart w:id="6" w:name="_Toc98767657"/>
      <w:r w:rsidRPr="00655EA8">
        <w:rPr>
          <w:sz w:val="28"/>
        </w:rPr>
        <w:t>Logros alcanzados</w:t>
      </w:r>
      <w:bookmarkEnd w:id="5"/>
      <w:bookmarkEnd w:id="6"/>
    </w:p>
    <w:p w:rsidR="00C26EBD" w:rsidRPr="00655EA8" w:rsidRDefault="008B75BF" w:rsidP="00636B51">
      <w:pPr>
        <w:spacing w:before="240" w:after="240"/>
        <w:jc w:val="both"/>
      </w:pPr>
      <w:r w:rsidRPr="00655EA8">
        <w:rPr>
          <w:rFonts w:eastAsia="Calibri" w:cs="Arial"/>
          <w:i/>
          <w:sz w:val="22"/>
          <w:lang w:val="es-EC" w:eastAsia="en-US"/>
        </w:rPr>
        <w:t>Dentro  de los logros alcanzados tenemos  el abastecimiento de medicamentos y de disposi</w:t>
      </w:r>
      <w:r w:rsidR="001F7F68" w:rsidRPr="00655EA8">
        <w:rPr>
          <w:rFonts w:eastAsia="Calibri" w:cs="Arial"/>
          <w:i/>
          <w:sz w:val="22"/>
          <w:lang w:val="es-EC" w:eastAsia="en-US"/>
        </w:rPr>
        <w:t>ti</w:t>
      </w:r>
      <w:r w:rsidRPr="00655EA8">
        <w:rPr>
          <w:rFonts w:eastAsia="Calibri" w:cs="Arial"/>
          <w:i/>
          <w:sz w:val="22"/>
          <w:lang w:val="es-EC" w:eastAsia="en-US"/>
        </w:rPr>
        <w:t xml:space="preserve">vos médicos con el fin de cumplir   con las necesidades de cada uno de los pacientes,  damos continuidad al servicio de visitas domiciliarias  a </w:t>
      </w:r>
      <w:r w:rsidR="001F7F68" w:rsidRPr="00655EA8">
        <w:rPr>
          <w:rFonts w:eastAsia="Calibri" w:cs="Arial"/>
          <w:i/>
          <w:sz w:val="22"/>
          <w:lang w:val="es-EC" w:eastAsia="en-US"/>
        </w:rPr>
        <w:t>través</w:t>
      </w:r>
      <w:r w:rsidRPr="00655EA8">
        <w:rPr>
          <w:rFonts w:eastAsia="Calibri" w:cs="Arial"/>
          <w:i/>
          <w:sz w:val="22"/>
          <w:lang w:val="es-EC" w:eastAsia="en-US"/>
        </w:rPr>
        <w:t xml:space="preserve"> de la consulta </w:t>
      </w:r>
      <w:r w:rsidR="001F7F68" w:rsidRPr="00655EA8">
        <w:rPr>
          <w:rFonts w:eastAsia="Calibri" w:cs="Arial"/>
          <w:i/>
          <w:sz w:val="22"/>
          <w:lang w:val="es-EC" w:eastAsia="en-US"/>
        </w:rPr>
        <w:t xml:space="preserve"> medica y del área de enfermería sin dejar desprotegido a sectores vulnerables de nuestro cantón, la articulación permanente con el hospital con el fin de promover las pueta de entrada en el primer nivel de atención.</w:t>
      </w:r>
    </w:p>
    <w:p w:rsidR="00D92D93" w:rsidRPr="00655EA8" w:rsidRDefault="00D92D93" w:rsidP="00636B51">
      <w:pPr>
        <w:pStyle w:val="Ttulo1"/>
        <w:numPr>
          <w:ilvl w:val="0"/>
          <w:numId w:val="3"/>
        </w:numPr>
        <w:jc w:val="both"/>
        <w:rPr>
          <w:sz w:val="28"/>
        </w:rPr>
      </w:pPr>
      <w:bookmarkStart w:id="7" w:name="_Toc8811663"/>
      <w:bookmarkStart w:id="8" w:name="_Toc98767658"/>
      <w:r w:rsidRPr="00655EA8">
        <w:rPr>
          <w:sz w:val="28"/>
        </w:rPr>
        <w:t>Implementación de políticas públicas para la igualdad</w:t>
      </w:r>
      <w:bookmarkEnd w:id="7"/>
      <w:bookmarkEnd w:id="8"/>
    </w:p>
    <w:p w:rsidR="00D92D93" w:rsidRPr="00655EA8" w:rsidRDefault="00D92D93" w:rsidP="00636B51">
      <w:pPr>
        <w:pStyle w:val="Ttulo2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bookmarkStart w:id="9" w:name="_Toc8811666"/>
      <w:bookmarkStart w:id="10" w:name="_Toc98767659"/>
      <w:r w:rsidRPr="00655EA8">
        <w:rPr>
          <w:rFonts w:ascii="Times New Roman" w:hAnsi="Times New Roman"/>
          <w:sz w:val="24"/>
        </w:rPr>
        <w:t>Políticas públicas de discapacidades</w:t>
      </w:r>
      <w:bookmarkEnd w:id="9"/>
      <w:bookmarkEnd w:id="10"/>
    </w:p>
    <w:p w:rsidR="00B9689E" w:rsidRPr="00655EA8" w:rsidRDefault="00B9689E" w:rsidP="00B9689E">
      <w:pPr>
        <w:rPr>
          <w:sz w:val="22"/>
          <w:szCs w:val="22"/>
        </w:rPr>
      </w:pPr>
    </w:p>
    <w:p w:rsidR="00B029CE" w:rsidRPr="00655EA8" w:rsidRDefault="00B029CE" w:rsidP="00B029CE">
      <w:pPr>
        <w:jc w:val="both"/>
        <w:rPr>
          <w:sz w:val="22"/>
          <w:szCs w:val="22"/>
        </w:rPr>
      </w:pPr>
      <w:r w:rsidRPr="00655EA8">
        <w:rPr>
          <w:sz w:val="22"/>
          <w:szCs w:val="22"/>
        </w:rPr>
        <w:t>Actividades orientadas a ampliar, mejorar y asegurar el acceso de las personas con discapacidad a los servicios de salud, tomando en cuenta las cuestiones de género, con capacidad de respuesta a necesidades específicas e impulso a la investigación sobre temas vinculados con prevención, tratamiento y rehabilitación.</w:t>
      </w:r>
    </w:p>
    <w:p w:rsidR="00B9689E" w:rsidRPr="00655EA8" w:rsidRDefault="00B9689E" w:rsidP="00B9689E"/>
    <w:p w:rsidR="007A67A3" w:rsidRPr="00655EA8" w:rsidRDefault="007A67A3" w:rsidP="00B41709">
      <w:bookmarkStart w:id="11" w:name="_Toc8811669"/>
    </w:p>
    <w:p w:rsidR="00D92D93" w:rsidRPr="00655EA8" w:rsidRDefault="00D92D93" w:rsidP="007A67A3">
      <w:pPr>
        <w:pStyle w:val="Ttulo1"/>
        <w:jc w:val="both"/>
        <w:rPr>
          <w:sz w:val="28"/>
        </w:rPr>
      </w:pPr>
      <w:bookmarkStart w:id="12" w:name="_Toc98767660"/>
      <w:r w:rsidRPr="00655EA8">
        <w:rPr>
          <w:sz w:val="28"/>
        </w:rPr>
        <w:t>Objetivos Institucionales</w:t>
      </w:r>
      <w:bookmarkEnd w:id="11"/>
      <w:bookmarkEnd w:id="12"/>
    </w:p>
    <w:p w:rsidR="00C554B6" w:rsidRPr="00655EA8" w:rsidRDefault="00C554B6" w:rsidP="00C554B6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Objetivo Estratégico N°1. Incrementar la sostenibilidad de los fondos de los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seguros especializados"</w:t>
      </w:r>
    </w:p>
    <w:p w:rsidR="00C554B6" w:rsidRPr="00655EA8" w:rsidRDefault="00C554B6" w:rsidP="00C554B6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Objetivo Estratégico N°2 Incrementar la eficiencia en el uso de recursos financieros</w:t>
      </w:r>
    </w:p>
    <w:p w:rsidR="00C554B6" w:rsidRPr="00655EA8" w:rsidRDefault="00C554B6" w:rsidP="00C554B6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Objetivo Estratégico N°3. Incrementar la efectividad de la afiliación a la  seguridad social</w:t>
      </w:r>
    </w:p>
    <w:p w:rsidR="00C554B6" w:rsidRPr="00655EA8" w:rsidRDefault="00C554B6" w:rsidP="00C554B6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Objetivo Estratégico N°4. Incrementar la calidad, calidez y oportunidad en  el acceso y entrega de las prestaciones y servicios</w:t>
      </w:r>
    </w:p>
    <w:p w:rsidR="00C554B6" w:rsidRPr="00655EA8" w:rsidRDefault="00C554B6" w:rsidP="00C554B6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Objetivo Estratégico N°5 Incrementar la eficiencia operacional de la gestión de los procesos</w:t>
      </w:r>
    </w:p>
    <w:p w:rsidR="00C554B6" w:rsidRPr="00655EA8" w:rsidRDefault="00C554B6" w:rsidP="00C554B6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>Objetivo Estratégico N°6. Incrementar el desarrollo profesional de los</w:t>
      </w:r>
      <w:r w:rsidR="00F720DA" w:rsidRPr="00655EA8">
        <w:rPr>
          <w:rFonts w:eastAsia="Calibri" w:cs="Arial"/>
          <w:sz w:val="22"/>
          <w:lang w:val="es-EC" w:eastAsia="en-US"/>
        </w:rPr>
        <w:t xml:space="preserve"> </w:t>
      </w:r>
      <w:r w:rsidRPr="00655EA8">
        <w:rPr>
          <w:rFonts w:eastAsia="Calibri" w:cs="Arial"/>
          <w:sz w:val="22"/>
          <w:lang w:val="es-EC" w:eastAsia="en-US"/>
        </w:rPr>
        <w:t>servidores de la institución"</w:t>
      </w:r>
    </w:p>
    <w:p w:rsidR="00A51981" w:rsidRPr="00655EA8" w:rsidRDefault="00C554B6" w:rsidP="00F720DA">
      <w:pPr>
        <w:numPr>
          <w:ilvl w:val="0"/>
          <w:numId w:val="7"/>
        </w:numPr>
        <w:spacing w:before="240" w:after="240"/>
        <w:jc w:val="both"/>
        <w:rPr>
          <w:rFonts w:eastAsia="Calibri" w:cs="Arial"/>
          <w:sz w:val="22"/>
          <w:lang w:val="es-EC" w:eastAsia="en-US"/>
        </w:rPr>
      </w:pPr>
      <w:r w:rsidRPr="00655EA8">
        <w:rPr>
          <w:rFonts w:eastAsia="Calibri" w:cs="Arial"/>
          <w:sz w:val="22"/>
          <w:lang w:val="es-EC" w:eastAsia="en-US"/>
        </w:rPr>
        <w:t xml:space="preserve">Objetivo Estratégico N°7. Incrementar el grado de innovación en la gestión  institucional </w:t>
      </w:r>
    </w:p>
    <w:p w:rsidR="00D92D93" w:rsidRPr="00655EA8" w:rsidRDefault="00D92D93" w:rsidP="00636B51">
      <w:pPr>
        <w:pStyle w:val="Ttulo1"/>
        <w:numPr>
          <w:ilvl w:val="0"/>
          <w:numId w:val="3"/>
        </w:numPr>
        <w:jc w:val="both"/>
        <w:rPr>
          <w:sz w:val="28"/>
        </w:rPr>
      </w:pPr>
      <w:bookmarkStart w:id="13" w:name="_Toc8811670"/>
      <w:bookmarkStart w:id="14" w:name="_Toc98767661"/>
      <w:r w:rsidRPr="00655EA8">
        <w:rPr>
          <w:sz w:val="28"/>
        </w:rPr>
        <w:t>Ejecución programáticas y presupuestaria</w:t>
      </w:r>
      <w:bookmarkEnd w:id="13"/>
      <w:bookmarkEnd w:id="14"/>
    </w:p>
    <w:p w:rsidR="00F720DA" w:rsidRPr="00655EA8" w:rsidRDefault="00F720DA" w:rsidP="00B4170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2125"/>
        <w:gridCol w:w="2125"/>
        <w:gridCol w:w="2134"/>
      </w:tblGrid>
      <w:tr w:rsidR="00F720DA" w:rsidRPr="00655EA8" w:rsidTr="00F9328A">
        <w:tc>
          <w:tcPr>
            <w:tcW w:w="2161" w:type="dxa"/>
            <w:shd w:val="clear" w:color="auto" w:fill="auto"/>
          </w:tcPr>
          <w:p w:rsidR="00F720DA" w:rsidRPr="00655EA8" w:rsidRDefault="00F720DA" w:rsidP="00F9328A">
            <w:pPr>
              <w:spacing w:before="240" w:after="240"/>
              <w:jc w:val="center"/>
              <w:rPr>
                <w:rFonts w:eastAsia="Calibri" w:cs="Arial"/>
                <w:b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b/>
                <w:i/>
                <w:sz w:val="22"/>
                <w:lang w:val="es-EC" w:eastAsia="en-US"/>
              </w:rPr>
              <w:t>Grupo de gasto</w:t>
            </w:r>
          </w:p>
        </w:tc>
        <w:tc>
          <w:tcPr>
            <w:tcW w:w="2161" w:type="dxa"/>
            <w:shd w:val="clear" w:color="auto" w:fill="auto"/>
          </w:tcPr>
          <w:p w:rsidR="00F720DA" w:rsidRPr="00655EA8" w:rsidRDefault="00F720DA" w:rsidP="00F9328A">
            <w:pPr>
              <w:spacing w:before="240" w:after="240"/>
              <w:jc w:val="center"/>
              <w:rPr>
                <w:rFonts w:eastAsia="Calibri" w:cs="Arial"/>
                <w:b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b/>
                <w:i/>
                <w:sz w:val="22"/>
                <w:lang w:val="es-EC" w:eastAsia="en-US"/>
              </w:rPr>
              <w:t>Presupuesto codificado</w:t>
            </w:r>
          </w:p>
        </w:tc>
        <w:tc>
          <w:tcPr>
            <w:tcW w:w="2161" w:type="dxa"/>
            <w:shd w:val="clear" w:color="auto" w:fill="auto"/>
          </w:tcPr>
          <w:p w:rsidR="00F720DA" w:rsidRPr="00655EA8" w:rsidRDefault="00F720DA" w:rsidP="00F9328A">
            <w:pPr>
              <w:spacing w:before="240" w:after="240"/>
              <w:jc w:val="center"/>
              <w:rPr>
                <w:rFonts w:eastAsia="Calibri" w:cs="Arial"/>
                <w:b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b/>
                <w:i/>
                <w:sz w:val="22"/>
                <w:lang w:val="es-EC" w:eastAsia="en-US"/>
              </w:rPr>
              <w:t>Presupuesto ejecutado</w:t>
            </w:r>
          </w:p>
        </w:tc>
        <w:tc>
          <w:tcPr>
            <w:tcW w:w="2162" w:type="dxa"/>
            <w:shd w:val="clear" w:color="auto" w:fill="auto"/>
          </w:tcPr>
          <w:p w:rsidR="00F720DA" w:rsidRPr="00655EA8" w:rsidRDefault="00F720DA" w:rsidP="00F9328A">
            <w:pPr>
              <w:spacing w:before="240" w:after="240"/>
              <w:jc w:val="center"/>
              <w:rPr>
                <w:rFonts w:eastAsia="Calibri" w:cs="Arial"/>
                <w:b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b/>
                <w:i/>
                <w:sz w:val="22"/>
                <w:lang w:val="es-EC" w:eastAsia="en-US"/>
              </w:rPr>
              <w:t>% de cumplimiento del presupuesto</w:t>
            </w:r>
          </w:p>
        </w:tc>
      </w:tr>
      <w:tr w:rsidR="00F720DA" w:rsidRPr="00655EA8" w:rsidTr="00F9328A">
        <w:tc>
          <w:tcPr>
            <w:tcW w:w="2161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Egresos de personal</w:t>
            </w:r>
          </w:p>
        </w:tc>
        <w:tc>
          <w:tcPr>
            <w:tcW w:w="2161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470,711.37</w:t>
            </w:r>
          </w:p>
        </w:tc>
        <w:tc>
          <w:tcPr>
            <w:tcW w:w="2161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465,782.54</w:t>
            </w:r>
          </w:p>
        </w:tc>
        <w:tc>
          <w:tcPr>
            <w:tcW w:w="2162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98.95%</w:t>
            </w:r>
          </w:p>
        </w:tc>
      </w:tr>
      <w:tr w:rsidR="00F720DA" w:rsidRPr="00655EA8" w:rsidTr="00F9328A">
        <w:tc>
          <w:tcPr>
            <w:tcW w:w="2161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Bienes y servicios de consumo</w:t>
            </w:r>
          </w:p>
        </w:tc>
        <w:tc>
          <w:tcPr>
            <w:tcW w:w="2161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867,630.50</w:t>
            </w:r>
          </w:p>
        </w:tc>
        <w:tc>
          <w:tcPr>
            <w:tcW w:w="2161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215,397.40</w:t>
            </w:r>
          </w:p>
        </w:tc>
        <w:tc>
          <w:tcPr>
            <w:tcW w:w="2162" w:type="dxa"/>
            <w:shd w:val="clear" w:color="auto" w:fill="auto"/>
          </w:tcPr>
          <w:p w:rsidR="00F720D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24.83%</w:t>
            </w:r>
          </w:p>
        </w:tc>
      </w:tr>
      <w:tr w:rsidR="00BF7ACA" w:rsidRPr="00655EA8" w:rsidTr="00F9328A"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Otros egresos corrientes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5,473.00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2,341.49</w:t>
            </w:r>
          </w:p>
        </w:tc>
        <w:tc>
          <w:tcPr>
            <w:tcW w:w="2162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42.78%</w:t>
            </w:r>
          </w:p>
        </w:tc>
      </w:tr>
      <w:tr w:rsidR="00BF7ACA" w:rsidRPr="00655EA8" w:rsidTr="00F9328A"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Egresos de capital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7,000.00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0.00</w:t>
            </w:r>
          </w:p>
        </w:tc>
        <w:tc>
          <w:tcPr>
            <w:tcW w:w="2162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0.00%</w:t>
            </w:r>
          </w:p>
        </w:tc>
      </w:tr>
      <w:tr w:rsidR="00BF7ACA" w:rsidRPr="00655EA8" w:rsidTr="00F9328A"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Otros pasivos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1,393.50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1,393.50</w:t>
            </w:r>
          </w:p>
        </w:tc>
        <w:tc>
          <w:tcPr>
            <w:tcW w:w="2162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100.00%</w:t>
            </w:r>
          </w:p>
        </w:tc>
      </w:tr>
      <w:tr w:rsidR="00BF7ACA" w:rsidRPr="00655EA8" w:rsidTr="00F9328A"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Totales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1,352,208.37</w:t>
            </w:r>
          </w:p>
        </w:tc>
        <w:tc>
          <w:tcPr>
            <w:tcW w:w="2161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684,914.93</w:t>
            </w:r>
          </w:p>
        </w:tc>
        <w:tc>
          <w:tcPr>
            <w:tcW w:w="2162" w:type="dxa"/>
            <w:shd w:val="clear" w:color="auto" w:fill="auto"/>
          </w:tcPr>
          <w:p w:rsidR="00BF7ACA" w:rsidRPr="00655EA8" w:rsidRDefault="00BF7ACA" w:rsidP="00F9328A">
            <w:pPr>
              <w:spacing w:before="240" w:after="240"/>
              <w:jc w:val="right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50.65%</w:t>
            </w:r>
          </w:p>
        </w:tc>
      </w:tr>
    </w:tbl>
    <w:p w:rsidR="00283BF2" w:rsidRPr="00283BF2" w:rsidRDefault="00283BF2" w:rsidP="00283BF2">
      <w:bookmarkStart w:id="15" w:name="_Toc8811671"/>
      <w:bookmarkStart w:id="16" w:name="_Toc98767662"/>
    </w:p>
    <w:p w:rsidR="00D92D93" w:rsidRPr="00283BF2" w:rsidRDefault="00D92D93" w:rsidP="00636B51">
      <w:pPr>
        <w:pStyle w:val="Ttulo1"/>
        <w:numPr>
          <w:ilvl w:val="0"/>
          <w:numId w:val="3"/>
        </w:numPr>
        <w:jc w:val="both"/>
      </w:pPr>
      <w:r w:rsidRPr="00655EA8">
        <w:rPr>
          <w:sz w:val="28"/>
        </w:rPr>
        <w:t>Procesos de contratación y compras públicas de bienes y servicios</w:t>
      </w:r>
      <w:bookmarkEnd w:id="15"/>
      <w:bookmarkEnd w:id="16"/>
    </w:p>
    <w:p w:rsidR="00283BF2" w:rsidRPr="00655EA8" w:rsidRDefault="00283BF2" w:rsidP="00283B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9"/>
        <w:gridCol w:w="2825"/>
        <w:gridCol w:w="2831"/>
      </w:tblGrid>
      <w:tr w:rsidR="00C31418" w:rsidRPr="00655EA8" w:rsidTr="00F9328A">
        <w:tc>
          <w:tcPr>
            <w:tcW w:w="2881" w:type="dxa"/>
            <w:shd w:val="clear" w:color="auto" w:fill="auto"/>
          </w:tcPr>
          <w:p w:rsidR="00C31418" w:rsidRPr="00655EA8" w:rsidRDefault="00C31418" w:rsidP="00F9328A">
            <w:pPr>
              <w:spacing w:before="240" w:after="240"/>
              <w:jc w:val="center"/>
              <w:rPr>
                <w:b/>
              </w:rPr>
            </w:pPr>
            <w:r w:rsidRPr="00655EA8">
              <w:rPr>
                <w:b/>
              </w:rPr>
              <w:t>Tipo de contratación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C31418" w:rsidP="00F9328A">
            <w:pPr>
              <w:spacing w:before="240" w:after="240"/>
              <w:jc w:val="center"/>
              <w:rPr>
                <w:b/>
              </w:rPr>
            </w:pPr>
            <w:r w:rsidRPr="00655EA8">
              <w:rPr>
                <w:b/>
              </w:rPr>
              <w:t>Procesos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C31418" w:rsidP="00F9328A">
            <w:pPr>
              <w:spacing w:before="240" w:after="240"/>
              <w:jc w:val="center"/>
              <w:rPr>
                <w:b/>
              </w:rPr>
            </w:pPr>
            <w:r w:rsidRPr="00655EA8">
              <w:rPr>
                <w:b/>
              </w:rPr>
              <w:t>Valor total</w:t>
            </w:r>
          </w:p>
        </w:tc>
      </w:tr>
      <w:tr w:rsidR="00C31418" w:rsidRPr="00655EA8" w:rsidTr="00F9328A">
        <w:tc>
          <w:tcPr>
            <w:tcW w:w="2881" w:type="dxa"/>
            <w:shd w:val="clear" w:color="auto" w:fill="auto"/>
          </w:tcPr>
          <w:p w:rsidR="00C31418" w:rsidRPr="00655EA8" w:rsidRDefault="00C31418" w:rsidP="00F9328A">
            <w:pPr>
              <w:spacing w:before="240" w:after="240"/>
              <w:jc w:val="both"/>
            </w:pPr>
            <w:r w:rsidRPr="00655EA8">
              <w:t>Ínfima Cuantía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C31418" w:rsidP="00F9328A">
            <w:pPr>
              <w:spacing w:before="240" w:after="240"/>
              <w:jc w:val="right"/>
            </w:pPr>
            <w:r w:rsidRPr="00655EA8">
              <w:t>24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C31418" w:rsidP="00F9328A">
            <w:pPr>
              <w:spacing w:before="240" w:after="240"/>
              <w:jc w:val="right"/>
            </w:pPr>
            <w:r w:rsidRPr="00655EA8">
              <w:t>26,688.34</w:t>
            </w:r>
          </w:p>
        </w:tc>
      </w:tr>
      <w:tr w:rsidR="00C31418" w:rsidRPr="00655EA8" w:rsidTr="00F9328A">
        <w:tc>
          <w:tcPr>
            <w:tcW w:w="2881" w:type="dxa"/>
            <w:shd w:val="clear" w:color="auto" w:fill="auto"/>
          </w:tcPr>
          <w:p w:rsidR="00C31418" w:rsidRPr="00655EA8" w:rsidRDefault="009053A2" w:rsidP="00F9328A">
            <w:pPr>
              <w:spacing w:before="240" w:after="240"/>
            </w:pPr>
            <w:r w:rsidRPr="00655EA8">
              <w:t>Subasta Inversa Electrónica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9053A2" w:rsidP="00F9328A">
            <w:pPr>
              <w:spacing w:before="240" w:after="240"/>
              <w:jc w:val="right"/>
            </w:pPr>
            <w:r w:rsidRPr="00655EA8">
              <w:t>5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9053A2" w:rsidP="00F9328A">
            <w:pPr>
              <w:spacing w:before="240" w:after="240"/>
              <w:jc w:val="right"/>
            </w:pPr>
            <w:r w:rsidRPr="00655EA8">
              <w:t>139,597.56</w:t>
            </w:r>
          </w:p>
        </w:tc>
      </w:tr>
      <w:tr w:rsidR="00C31418" w:rsidRPr="00655EA8" w:rsidTr="00F9328A">
        <w:tc>
          <w:tcPr>
            <w:tcW w:w="2881" w:type="dxa"/>
            <w:shd w:val="clear" w:color="auto" w:fill="auto"/>
          </w:tcPr>
          <w:p w:rsidR="00C31418" w:rsidRPr="00655EA8" w:rsidRDefault="009053A2" w:rsidP="00F9328A">
            <w:pPr>
              <w:spacing w:before="240" w:after="240"/>
              <w:jc w:val="both"/>
            </w:pPr>
            <w:r w:rsidRPr="00655EA8">
              <w:t>Régimen Especial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9053A2" w:rsidP="00F9328A">
            <w:pPr>
              <w:spacing w:before="240" w:after="240"/>
              <w:jc w:val="right"/>
            </w:pPr>
            <w:r w:rsidRPr="00655EA8">
              <w:t>1</w:t>
            </w:r>
          </w:p>
        </w:tc>
        <w:tc>
          <w:tcPr>
            <w:tcW w:w="2882" w:type="dxa"/>
            <w:shd w:val="clear" w:color="auto" w:fill="auto"/>
          </w:tcPr>
          <w:p w:rsidR="00C31418" w:rsidRPr="00655EA8" w:rsidRDefault="009053A2" w:rsidP="00F9328A">
            <w:pPr>
              <w:spacing w:before="240" w:after="240"/>
              <w:jc w:val="right"/>
            </w:pPr>
            <w:r w:rsidRPr="00655EA8">
              <w:t>10,521.81</w:t>
            </w:r>
          </w:p>
        </w:tc>
      </w:tr>
      <w:tr w:rsidR="009053A2" w:rsidRPr="00655EA8" w:rsidTr="00F9328A">
        <w:tc>
          <w:tcPr>
            <w:tcW w:w="2881" w:type="dxa"/>
            <w:shd w:val="clear" w:color="auto" w:fill="auto"/>
          </w:tcPr>
          <w:p w:rsidR="009053A2" w:rsidRPr="00655EA8" w:rsidRDefault="009053A2" w:rsidP="00F9328A">
            <w:pPr>
              <w:spacing w:before="240" w:after="240"/>
              <w:jc w:val="both"/>
            </w:pPr>
            <w:r w:rsidRPr="00655EA8">
              <w:t>Catálogo Electrónico</w:t>
            </w:r>
          </w:p>
        </w:tc>
        <w:tc>
          <w:tcPr>
            <w:tcW w:w="2882" w:type="dxa"/>
            <w:shd w:val="clear" w:color="auto" w:fill="auto"/>
          </w:tcPr>
          <w:p w:rsidR="009053A2" w:rsidRPr="00655EA8" w:rsidRDefault="009053A2" w:rsidP="00F9328A">
            <w:pPr>
              <w:spacing w:before="240" w:after="240"/>
              <w:jc w:val="right"/>
            </w:pPr>
            <w:r w:rsidRPr="00655EA8">
              <w:t>22</w:t>
            </w:r>
          </w:p>
        </w:tc>
        <w:tc>
          <w:tcPr>
            <w:tcW w:w="2882" w:type="dxa"/>
            <w:shd w:val="clear" w:color="auto" w:fill="auto"/>
          </w:tcPr>
          <w:p w:rsidR="009053A2" w:rsidRPr="00655EA8" w:rsidRDefault="009053A2" w:rsidP="00F9328A">
            <w:pPr>
              <w:spacing w:before="240" w:after="240"/>
              <w:jc w:val="right"/>
            </w:pPr>
            <w:r w:rsidRPr="00655EA8">
              <w:t>25,802.99</w:t>
            </w:r>
          </w:p>
        </w:tc>
      </w:tr>
    </w:tbl>
    <w:p w:rsidR="00C31418" w:rsidRPr="00655EA8" w:rsidRDefault="00C31418" w:rsidP="00283BF2"/>
    <w:p w:rsidR="00D92D93" w:rsidRPr="00655EA8" w:rsidRDefault="00D92D93" w:rsidP="00636B51">
      <w:pPr>
        <w:pStyle w:val="Ttulo1"/>
        <w:numPr>
          <w:ilvl w:val="0"/>
          <w:numId w:val="3"/>
        </w:numPr>
        <w:jc w:val="both"/>
      </w:pPr>
      <w:bookmarkStart w:id="17" w:name="_Toc8811672"/>
      <w:bookmarkStart w:id="18" w:name="_Toc98767663"/>
      <w:r w:rsidRPr="00655EA8">
        <w:rPr>
          <w:sz w:val="28"/>
        </w:rPr>
        <w:t>Enajenación de bienes, expropiaciones y donaciones</w:t>
      </w:r>
      <w:bookmarkEnd w:id="17"/>
      <w:bookmarkEnd w:id="18"/>
    </w:p>
    <w:p w:rsidR="00EC095D" w:rsidRPr="00655EA8" w:rsidRDefault="009053A2" w:rsidP="00636B51">
      <w:pPr>
        <w:spacing w:before="240" w:after="240"/>
        <w:jc w:val="both"/>
      </w:pPr>
      <w:r w:rsidRPr="00655EA8">
        <w:rPr>
          <w:rFonts w:eastAsia="Calibri" w:cs="Arial"/>
          <w:i/>
          <w:sz w:val="22"/>
          <w:lang w:val="es-EC" w:eastAsia="en-US"/>
        </w:rPr>
        <w:t>No aplicable este tipo de procesos en el ejercicio económico 2021</w:t>
      </w:r>
    </w:p>
    <w:p w:rsidR="00D92D93" w:rsidRPr="00655EA8" w:rsidRDefault="00D92D93" w:rsidP="00636B51">
      <w:pPr>
        <w:pStyle w:val="Ttulo1"/>
        <w:numPr>
          <w:ilvl w:val="0"/>
          <w:numId w:val="3"/>
        </w:numPr>
        <w:jc w:val="both"/>
        <w:rPr>
          <w:sz w:val="28"/>
        </w:rPr>
      </w:pPr>
      <w:bookmarkStart w:id="19" w:name="_Toc8811673"/>
      <w:bookmarkStart w:id="20" w:name="_Toc98767664"/>
      <w:r w:rsidRPr="00655EA8">
        <w:rPr>
          <w:sz w:val="28"/>
        </w:rPr>
        <w:t>Incorporación de recomendaciones y dictámenes por parte de las entidades de la Función de Transparencia y Control Social, y de la Procuraduría General del Estado</w:t>
      </w:r>
      <w:bookmarkEnd w:id="19"/>
      <w:bookmarkEnd w:id="2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4245"/>
      </w:tblGrid>
      <w:tr w:rsidR="007A1648" w:rsidRPr="00655EA8" w:rsidTr="00E5352C">
        <w:tc>
          <w:tcPr>
            <w:tcW w:w="8645" w:type="dxa"/>
            <w:gridSpan w:val="2"/>
            <w:shd w:val="clear" w:color="auto" w:fill="auto"/>
          </w:tcPr>
          <w:p w:rsidR="007A1648" w:rsidRPr="00655EA8" w:rsidRDefault="00B41709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Contraloría</w:t>
            </w:r>
            <w:r w:rsidR="007A1648" w:rsidRPr="00655EA8">
              <w:rPr>
                <w:rFonts w:eastAsia="Calibri" w:cs="Arial"/>
                <w:i/>
                <w:sz w:val="22"/>
                <w:lang w:val="es-EC" w:eastAsia="en-US"/>
              </w:rPr>
              <w:t xml:space="preserve"> General del Estado</w:t>
            </w:r>
          </w:p>
        </w:tc>
      </w:tr>
      <w:tr w:rsidR="007A1648" w:rsidRPr="00655EA8" w:rsidTr="00F9328A">
        <w:tc>
          <w:tcPr>
            <w:tcW w:w="4322" w:type="dxa"/>
            <w:shd w:val="clear" w:color="auto" w:fill="auto"/>
          </w:tcPr>
          <w:p w:rsidR="009E4D9E" w:rsidRPr="00655EA8" w:rsidRDefault="009E4D9E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Dispondrá a los Directores de las Unidades Médicas que se realice un control de los</w:t>
            </w:r>
            <w:r w:rsidR="007A1648">
              <w:rPr>
                <w:rFonts w:eastAsia="Calibri" w:cs="Arial"/>
                <w:i/>
                <w:sz w:val="22"/>
                <w:lang w:val="es-EC" w:eastAsia="en-US"/>
              </w:rPr>
              <w:t xml:space="preserve"> </w:t>
            </w: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medicamentos próximos a caducar, se insista a los proveedores para su retiro y canje; y/o, se realicen las gestiones pertinentes ante las autoridades de salud informando sobre el particular, para que se tomen las medidas necesarias con oportunidad, a fin de contar con medicamentos aptos para el consumo y expendio a los pacientes.</w:t>
            </w:r>
          </w:p>
        </w:tc>
        <w:tc>
          <w:tcPr>
            <w:tcW w:w="4323" w:type="dxa"/>
            <w:shd w:val="clear" w:color="auto" w:fill="auto"/>
          </w:tcPr>
          <w:p w:rsidR="009E4D9E" w:rsidRPr="00655EA8" w:rsidRDefault="009E4D9E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El personal del servicio de Farmacia de la unidad médica notifica con al menos 60 días de anticipación a la fecha de caducidad a los proveedores de medicamentos para efectuar el canje de los medicamentos</w:t>
            </w:r>
          </w:p>
        </w:tc>
      </w:tr>
      <w:tr w:rsidR="007A1648" w:rsidRPr="00655EA8" w:rsidTr="00F9328A">
        <w:tc>
          <w:tcPr>
            <w:tcW w:w="4322" w:type="dxa"/>
            <w:shd w:val="clear" w:color="auto" w:fill="auto"/>
          </w:tcPr>
          <w:p w:rsidR="009E4D9E" w:rsidRPr="00655EA8" w:rsidRDefault="009E4D9E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Dispondrá a los Directores de las unidades médicas, que en coordinación con los Directores Administrativos, elaboren la planificación de adquisición de medicamentos y fármacos, a base de un estudio de las necesidades de cada unidad médica, utilizando registros estadísticos de consumo, perfil epidemiológico, cuadro básico institucional y cualquier otra herramienta que permita definir adecuadamente las necesidades, de acuerdo al nivel de complejidad de la unidad médica, con el fin de adquirir medicamentos de utilidad para los pacientes.</w:t>
            </w:r>
          </w:p>
        </w:tc>
        <w:tc>
          <w:tcPr>
            <w:tcW w:w="4323" w:type="dxa"/>
            <w:shd w:val="clear" w:color="auto" w:fill="auto"/>
          </w:tcPr>
          <w:p w:rsidR="009E4D9E" w:rsidRPr="00655EA8" w:rsidRDefault="009E4D9E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La unidad médica remite a la Coordinación Nacional de Medicamentos la programación anual</w:t>
            </w:r>
          </w:p>
        </w:tc>
      </w:tr>
      <w:tr w:rsidR="007A1648" w:rsidRPr="00655EA8" w:rsidTr="00F9328A">
        <w:tc>
          <w:tcPr>
            <w:tcW w:w="4322" w:type="dxa"/>
            <w:shd w:val="clear" w:color="auto" w:fill="auto"/>
          </w:tcPr>
          <w:p w:rsidR="009E4D9E" w:rsidRPr="00655EA8" w:rsidRDefault="009E4D9E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Dispondrá a los Administradores de los Contratos de fármacos, efectuar las acciones necesarias para evitar retrasos injustificados, realicen las liquidaciones económicas y de plazos de acuerdo a las cláusulas contractuales; con el fin de garantizar la supervisión y seguimientos de la ejecución de los contratos.</w:t>
            </w:r>
          </w:p>
        </w:tc>
        <w:tc>
          <w:tcPr>
            <w:tcW w:w="4323" w:type="dxa"/>
            <w:shd w:val="clear" w:color="auto" w:fill="auto"/>
          </w:tcPr>
          <w:p w:rsidR="009E4D9E" w:rsidRPr="00655EA8" w:rsidRDefault="009E4D9E" w:rsidP="00F9328A">
            <w:pPr>
              <w:spacing w:before="240" w:after="240"/>
              <w:jc w:val="both"/>
              <w:rPr>
                <w:rFonts w:eastAsia="Calibri" w:cs="Arial"/>
                <w:i/>
                <w:sz w:val="22"/>
                <w:lang w:val="es-EC" w:eastAsia="en-US"/>
              </w:rPr>
            </w:pPr>
            <w:r w:rsidRPr="00655EA8">
              <w:rPr>
                <w:rFonts w:eastAsia="Calibri" w:cs="Arial"/>
                <w:i/>
                <w:sz w:val="22"/>
                <w:lang w:val="es-EC" w:eastAsia="en-US"/>
              </w:rPr>
              <w:t>Los informes de administrador de contrato contienen la liquidación de plazos y liquidación económica</w:t>
            </w:r>
          </w:p>
        </w:tc>
      </w:tr>
    </w:tbl>
    <w:p w:rsidR="009E4D9E" w:rsidRPr="00655EA8" w:rsidRDefault="009E4D9E" w:rsidP="00636B51">
      <w:pPr>
        <w:spacing w:before="240" w:after="240"/>
        <w:jc w:val="both"/>
        <w:rPr>
          <w:rFonts w:eastAsia="Calibri" w:cs="Arial"/>
          <w:i/>
          <w:sz w:val="22"/>
          <w:lang w:val="es-EC" w:eastAsia="en-US"/>
        </w:rPr>
      </w:pPr>
    </w:p>
    <w:p w:rsidR="00E77A99" w:rsidRPr="00655EA8" w:rsidRDefault="00E77A99" w:rsidP="00636B51">
      <w:pPr>
        <w:spacing w:before="240" w:after="240"/>
        <w:jc w:val="both"/>
      </w:pPr>
    </w:p>
    <w:p w:rsidR="00D92D93" w:rsidRPr="00655EA8" w:rsidRDefault="00D92D93" w:rsidP="00D92D93">
      <w:pPr>
        <w:ind w:left="720"/>
        <w:rPr>
          <w:rFonts w:ascii="Arial" w:hAnsi="Arial" w:cs="Arial"/>
        </w:rPr>
      </w:pPr>
    </w:p>
    <w:p w:rsidR="00451F79" w:rsidRPr="00655EA8" w:rsidRDefault="00451F79" w:rsidP="00221D1D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3810"/>
      </w:tblGrid>
      <w:tr w:rsidR="00CB10E9" w:rsidRPr="00655EA8" w:rsidTr="00C46F86">
        <w:trPr>
          <w:trHeight w:val="277"/>
          <w:jc w:val="center"/>
        </w:trPr>
        <w:tc>
          <w:tcPr>
            <w:tcW w:w="3821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  <w:r w:rsidRPr="00655EA8">
              <w:rPr>
                <w:rFonts w:ascii="Calibri" w:eastAsia="Calibri" w:hAnsi="Calibri" w:cs="Arial"/>
                <w:sz w:val="20"/>
              </w:rPr>
              <w:t>ELABORADO POR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  <w:r w:rsidRPr="00655EA8">
              <w:rPr>
                <w:rFonts w:ascii="Calibri" w:eastAsia="Calibri" w:hAnsi="Calibri" w:cs="Arial"/>
                <w:sz w:val="20"/>
              </w:rPr>
              <w:t>APROBADO POR</w:t>
            </w:r>
          </w:p>
        </w:tc>
      </w:tr>
      <w:tr w:rsidR="00CB10E9" w:rsidRPr="00655EA8" w:rsidTr="00C46F86">
        <w:trPr>
          <w:trHeight w:val="1138"/>
          <w:jc w:val="center"/>
        </w:trPr>
        <w:tc>
          <w:tcPr>
            <w:tcW w:w="3821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center"/>
              <w:rPr>
                <w:rFonts w:ascii="Calibri Light" w:eastAsia="Calibri" w:hAnsi="Calibri Light" w:cs="Arial"/>
                <w:i/>
                <w:sz w:val="20"/>
              </w:rPr>
            </w:pPr>
            <w:r w:rsidRPr="00655EA8">
              <w:rPr>
                <w:rFonts w:ascii="Calibri Light" w:eastAsia="Calibri" w:hAnsi="Calibri Light" w:cs="Arial"/>
                <w:i/>
                <w:sz w:val="20"/>
              </w:rPr>
              <w:t>(Firma responsable)</w:t>
            </w:r>
          </w:p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center"/>
              <w:rPr>
                <w:rFonts w:ascii="Calibri Light" w:eastAsia="Calibri" w:hAnsi="Calibri Light" w:cs="Arial"/>
                <w:i/>
                <w:sz w:val="20"/>
              </w:rPr>
            </w:pPr>
            <w:r w:rsidRPr="00655EA8">
              <w:rPr>
                <w:rFonts w:ascii="Calibri Light" w:eastAsia="Calibri" w:hAnsi="Calibri Light" w:cs="Arial"/>
                <w:i/>
                <w:sz w:val="20"/>
              </w:rPr>
              <w:t xml:space="preserve"> (Firma responsable)</w:t>
            </w:r>
          </w:p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</w:p>
        </w:tc>
      </w:tr>
      <w:tr w:rsidR="00CB10E9" w:rsidRPr="00655EA8" w:rsidTr="00C46F86">
        <w:trPr>
          <w:trHeight w:val="277"/>
          <w:jc w:val="center"/>
        </w:trPr>
        <w:tc>
          <w:tcPr>
            <w:tcW w:w="3821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  <w:r w:rsidRPr="00655EA8">
              <w:rPr>
                <w:rFonts w:ascii="Calibri" w:eastAsia="Calibri" w:hAnsi="Calibri" w:cs="Arial"/>
                <w:sz w:val="20"/>
              </w:rPr>
              <w:t xml:space="preserve">NOMBRE: </w:t>
            </w:r>
            <w:r w:rsidRPr="00655EA8">
              <w:rPr>
                <w:rFonts w:ascii="Calibri Light" w:eastAsia="Calibri" w:hAnsi="Calibri Light" w:cs="Arial"/>
                <w:i/>
                <w:sz w:val="20"/>
              </w:rPr>
              <w:t>Nombre y apellido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  <w:r w:rsidRPr="00655EA8">
              <w:rPr>
                <w:rFonts w:ascii="Calibri" w:eastAsia="Calibri" w:hAnsi="Calibri" w:cs="Arial"/>
                <w:sz w:val="20"/>
              </w:rPr>
              <w:t xml:space="preserve">NOMBRE: </w:t>
            </w:r>
            <w:r w:rsidRPr="00655EA8">
              <w:rPr>
                <w:rFonts w:ascii="Calibri Light" w:eastAsia="Calibri" w:hAnsi="Calibri Light" w:cs="Arial"/>
                <w:i/>
                <w:sz w:val="20"/>
              </w:rPr>
              <w:t>Nombre y apellido</w:t>
            </w:r>
          </w:p>
        </w:tc>
      </w:tr>
      <w:tr w:rsidR="00CB10E9" w:rsidRPr="00655EA8" w:rsidTr="00C46F86">
        <w:trPr>
          <w:trHeight w:val="277"/>
          <w:jc w:val="center"/>
        </w:trPr>
        <w:tc>
          <w:tcPr>
            <w:tcW w:w="3821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  <w:r w:rsidRPr="00655EA8">
              <w:rPr>
                <w:rFonts w:ascii="Calibri" w:eastAsia="Calibri" w:hAnsi="Calibri" w:cs="Arial"/>
                <w:sz w:val="20"/>
              </w:rPr>
              <w:t xml:space="preserve">CARGO: </w:t>
            </w:r>
            <w:r w:rsidRPr="00655EA8">
              <w:rPr>
                <w:rFonts w:ascii="Calibri Light" w:eastAsia="Calibri" w:hAnsi="Calibri Light" w:cs="Arial"/>
                <w:i/>
                <w:sz w:val="20"/>
              </w:rPr>
              <w:t>Cargo ocupacional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CB10E9" w:rsidRPr="00655EA8" w:rsidRDefault="00CB10E9" w:rsidP="00C46F86">
            <w:pPr>
              <w:pStyle w:val="Prrafodelista"/>
              <w:ind w:left="0"/>
              <w:jc w:val="both"/>
              <w:rPr>
                <w:rFonts w:ascii="Calibri" w:eastAsia="Calibri" w:hAnsi="Calibri" w:cs="Arial"/>
                <w:sz w:val="20"/>
              </w:rPr>
            </w:pPr>
            <w:r w:rsidRPr="00655EA8">
              <w:rPr>
                <w:rFonts w:ascii="Calibri" w:eastAsia="Calibri" w:hAnsi="Calibri" w:cs="Arial"/>
                <w:sz w:val="20"/>
              </w:rPr>
              <w:t xml:space="preserve">CARGO: </w:t>
            </w:r>
            <w:r w:rsidRPr="00655EA8">
              <w:rPr>
                <w:rFonts w:ascii="Calibri Light" w:eastAsia="Calibri" w:hAnsi="Calibri Light" w:cs="Arial"/>
                <w:i/>
                <w:sz w:val="20"/>
              </w:rPr>
              <w:t>Cargo ocupacional</w:t>
            </w:r>
          </w:p>
        </w:tc>
      </w:tr>
    </w:tbl>
    <w:p w:rsidR="00CB10E9" w:rsidRPr="00655EA8" w:rsidRDefault="00CB10E9" w:rsidP="00221D1D">
      <w:pPr>
        <w:jc w:val="center"/>
        <w:rPr>
          <w:rFonts w:ascii="Arial" w:hAnsi="Arial" w:cs="Arial"/>
        </w:rPr>
      </w:pPr>
    </w:p>
    <w:sectPr w:rsidR="00CB10E9" w:rsidRPr="00655EA8" w:rsidSect="00451F79">
      <w:headerReference w:type="default" r:id="rId9"/>
      <w:footerReference w:type="default" r:id="rId10"/>
      <w:pgSz w:w="11900" w:h="16840"/>
      <w:pgMar w:top="2676" w:right="1694" w:bottom="1417" w:left="1701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2C5" w:rsidRDefault="00DE42C5" w:rsidP="00216EAA">
      <w:r>
        <w:separator/>
      </w:r>
    </w:p>
  </w:endnote>
  <w:endnote w:type="continuationSeparator" w:id="0">
    <w:p w:rsidR="00DE42C5" w:rsidRDefault="00DE42C5" w:rsidP="0021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87E" w:rsidRDefault="00E47CA1">
    <w:pPr>
      <w:pStyle w:val="Piedepgina"/>
    </w:pPr>
    <w:r>
      <w:rPr>
        <w:noProof/>
      </w:rPr>
      <w:drawing>
        <wp:inline distT="0" distB="0" distL="0" distR="0">
          <wp:extent cx="5398135" cy="2774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2C5" w:rsidRDefault="00DE42C5" w:rsidP="00216EAA">
      <w:r>
        <w:separator/>
      </w:r>
    </w:p>
  </w:footnote>
  <w:footnote w:type="continuationSeparator" w:id="0">
    <w:p w:rsidR="00DE42C5" w:rsidRDefault="00DE42C5" w:rsidP="0021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7"/>
      <w:gridCol w:w="4810"/>
      <w:gridCol w:w="2909"/>
    </w:tblGrid>
    <w:tr w:rsidR="00CB10E9" w:rsidRPr="00E447F0" w:rsidTr="001244BB">
      <w:trPr>
        <w:jc w:val="center"/>
      </w:trPr>
      <w:tc>
        <w:tcPr>
          <w:tcW w:w="1277" w:type="dxa"/>
          <w:vMerge w:val="restart"/>
          <w:shd w:val="clear" w:color="auto" w:fill="auto"/>
        </w:tcPr>
        <w:p w:rsidR="00CD65BF" w:rsidRPr="00CD65BF" w:rsidRDefault="00E47CA1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22"/>
              <w:szCs w:val="22"/>
              <w:lang w:val="es-EC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169545</wp:posOffset>
                </wp:positionV>
                <wp:extent cx="902335" cy="367665"/>
                <wp:effectExtent l="0" t="0" r="0" b="0"/>
                <wp:wrapThrough wrapText="bothSides">
                  <wp:wrapPolygon edited="0">
                    <wp:start x="912" y="0"/>
                    <wp:lineTo x="456" y="3358"/>
                    <wp:lineTo x="0" y="20145"/>
                    <wp:lineTo x="4104" y="20145"/>
                    <wp:lineTo x="5928" y="20145"/>
                    <wp:lineTo x="20521" y="17907"/>
                    <wp:lineTo x="20521" y="4477"/>
                    <wp:lineTo x="5472" y="0"/>
                    <wp:lineTo x="912" y="0"/>
                  </wp:wrapPolygon>
                </wp:wrapThrough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0" w:type="dxa"/>
          <w:shd w:val="clear" w:color="auto" w:fill="auto"/>
          <w:vAlign w:val="center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2"/>
              <w:szCs w:val="22"/>
              <w:lang w:val="es-EC" w:eastAsia="en-US"/>
            </w:rPr>
          </w:pPr>
          <w:r w:rsidRPr="00CD65BF">
            <w:rPr>
              <w:rFonts w:ascii="Calibri" w:eastAsia="Calibri" w:hAnsi="Calibri" w:cs="Calibri"/>
              <w:b/>
              <w:color w:val="000000"/>
              <w:sz w:val="22"/>
              <w:szCs w:val="22"/>
              <w:lang w:val="es-EC" w:eastAsia="es-EC"/>
            </w:rPr>
            <w:t>INSTITUTO ECUATORIANO DE SEGURIDAD SOCIAL</w:t>
          </w:r>
        </w:p>
      </w:tc>
      <w:tc>
        <w:tcPr>
          <w:tcW w:w="3039" w:type="dxa"/>
          <w:shd w:val="clear" w:color="auto" w:fill="auto"/>
          <w:vAlign w:val="center"/>
        </w:tcPr>
        <w:p w:rsidR="00CD65BF" w:rsidRPr="00E447F0" w:rsidRDefault="00341112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18"/>
              <w:szCs w:val="18"/>
              <w:lang w:val="en-US" w:eastAsia="en-US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  <w:lang w:val="en-US" w:eastAsia="es-EC"/>
            </w:rPr>
            <w:t>CÓD: DNPL-SDNSE-GPL-P02</w:t>
          </w:r>
          <w:r w:rsidR="00CD65BF" w:rsidRPr="00E447F0">
            <w:rPr>
              <w:rFonts w:ascii="Calibri" w:eastAsia="Calibri" w:hAnsi="Calibri" w:cs="Calibri"/>
              <w:b/>
              <w:color w:val="000000"/>
              <w:sz w:val="18"/>
              <w:szCs w:val="18"/>
              <w:lang w:val="en-US" w:eastAsia="es-EC"/>
            </w:rPr>
            <w:t>-F01</w:t>
          </w:r>
        </w:p>
      </w:tc>
    </w:tr>
    <w:tr w:rsidR="00CB10E9" w:rsidRPr="00CD65BF" w:rsidTr="001244BB">
      <w:trPr>
        <w:jc w:val="center"/>
      </w:trPr>
      <w:tc>
        <w:tcPr>
          <w:tcW w:w="1277" w:type="dxa"/>
          <w:vMerge/>
          <w:shd w:val="clear" w:color="auto" w:fill="auto"/>
        </w:tcPr>
        <w:p w:rsidR="00CD65BF" w:rsidRPr="00E447F0" w:rsidRDefault="00CD65BF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22"/>
              <w:szCs w:val="22"/>
              <w:lang w:val="en-US" w:eastAsia="en-US"/>
            </w:rPr>
          </w:pPr>
        </w:p>
      </w:tc>
      <w:tc>
        <w:tcPr>
          <w:tcW w:w="5040" w:type="dxa"/>
          <w:shd w:val="clear" w:color="auto" w:fill="auto"/>
          <w:vAlign w:val="center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2"/>
              <w:szCs w:val="22"/>
              <w:lang w:val="es-EC" w:eastAsia="en-US"/>
            </w:rPr>
          </w:pPr>
          <w:r w:rsidRPr="00CD65BF">
            <w:rPr>
              <w:rFonts w:ascii="Calibri" w:eastAsia="Calibri" w:hAnsi="Calibri" w:cs="Calibri"/>
              <w:b/>
              <w:sz w:val="22"/>
              <w:szCs w:val="22"/>
              <w:lang w:val="es-EC" w:eastAsia="en-US"/>
            </w:rPr>
            <w:t>SUBDIRECCIÓN NACIONAL DE SEGUIMIENTO Y EVALUACIÓN</w:t>
          </w:r>
        </w:p>
      </w:tc>
      <w:tc>
        <w:tcPr>
          <w:tcW w:w="3039" w:type="dxa"/>
          <w:shd w:val="clear" w:color="auto" w:fill="auto"/>
          <w:vAlign w:val="center"/>
        </w:tcPr>
        <w:p w:rsidR="00CD65BF" w:rsidRPr="00CD65BF" w:rsidRDefault="00CD65BF" w:rsidP="005005E6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18"/>
              <w:szCs w:val="18"/>
              <w:lang w:val="es-EC" w:eastAsia="en-US"/>
            </w:rPr>
          </w:pPr>
          <w:r w:rsidRPr="00CD65BF">
            <w:rPr>
              <w:rFonts w:ascii="Calibri" w:eastAsia="Calibri" w:hAnsi="Calibri" w:cs="Calibri"/>
              <w:b/>
              <w:sz w:val="18"/>
              <w:szCs w:val="18"/>
              <w:lang w:val="es-EC" w:eastAsia="en-US"/>
            </w:rPr>
            <w:t xml:space="preserve">FECHA DE VIGENCIA: </w:t>
          </w:r>
          <w:r w:rsidR="005005E6" w:rsidRPr="005005E6">
            <w:rPr>
              <w:rFonts w:ascii="Calibri" w:eastAsia="Calibri" w:hAnsi="Calibri" w:cs="Calibri"/>
              <w:sz w:val="18"/>
              <w:szCs w:val="18"/>
              <w:lang w:val="es-EC" w:eastAsia="en-US"/>
            </w:rPr>
            <w:t>30</w:t>
          </w:r>
          <w:r w:rsidR="005005E6">
            <w:rPr>
              <w:rFonts w:ascii="Calibri" w:eastAsia="Calibri" w:hAnsi="Calibri" w:cs="Calibri"/>
              <w:sz w:val="18"/>
              <w:szCs w:val="18"/>
              <w:lang w:val="es-EC" w:eastAsia="en-US"/>
            </w:rPr>
            <w:t>/08</w:t>
          </w:r>
          <w:r w:rsidRPr="00CD65BF">
            <w:rPr>
              <w:rFonts w:ascii="Calibri" w:eastAsia="Calibri" w:hAnsi="Calibri" w:cs="Calibri"/>
              <w:sz w:val="18"/>
              <w:szCs w:val="18"/>
              <w:lang w:val="es-EC" w:eastAsia="en-US"/>
            </w:rPr>
            <w:t>/2019</w:t>
          </w:r>
        </w:p>
      </w:tc>
    </w:tr>
    <w:tr w:rsidR="00CB10E9" w:rsidRPr="00CD65BF" w:rsidTr="001244BB">
      <w:trPr>
        <w:jc w:val="center"/>
      </w:trPr>
      <w:tc>
        <w:tcPr>
          <w:tcW w:w="1277" w:type="dxa"/>
          <w:vMerge/>
          <w:shd w:val="clear" w:color="auto" w:fill="auto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22"/>
              <w:szCs w:val="22"/>
              <w:lang w:val="es-EC" w:eastAsia="en-US"/>
            </w:rPr>
          </w:pPr>
        </w:p>
      </w:tc>
      <w:tc>
        <w:tcPr>
          <w:tcW w:w="5040" w:type="dxa"/>
          <w:vMerge w:val="restart"/>
          <w:shd w:val="clear" w:color="auto" w:fill="auto"/>
          <w:vAlign w:val="center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2"/>
              <w:szCs w:val="22"/>
              <w:lang w:val="es-EC" w:eastAsia="en-US"/>
            </w:rPr>
          </w:pPr>
          <w:r w:rsidRPr="00CD65BF">
            <w:rPr>
              <w:rFonts w:ascii="Calibri" w:eastAsia="Calibri" w:hAnsi="Calibri" w:cs="Calibri"/>
              <w:b/>
              <w:sz w:val="22"/>
              <w:szCs w:val="22"/>
              <w:lang w:val="es-EC" w:eastAsia="en-US"/>
            </w:rPr>
            <w:t>INFORME DE RENDICIÓN DE CUENTAS</w:t>
          </w:r>
        </w:p>
      </w:tc>
      <w:tc>
        <w:tcPr>
          <w:tcW w:w="3039" w:type="dxa"/>
          <w:shd w:val="clear" w:color="auto" w:fill="auto"/>
          <w:vAlign w:val="center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b/>
              <w:sz w:val="18"/>
              <w:szCs w:val="18"/>
              <w:lang w:val="es-EC" w:eastAsia="es-EC"/>
            </w:rPr>
          </w:pPr>
          <w:r w:rsidRPr="00CD65BF">
            <w:rPr>
              <w:rFonts w:ascii="Calibri" w:eastAsia="Calibri" w:hAnsi="Calibri" w:cs="Calibri"/>
              <w:b/>
              <w:sz w:val="18"/>
              <w:szCs w:val="18"/>
              <w:lang w:val="es-EC" w:eastAsia="es-EC"/>
            </w:rPr>
            <w:t xml:space="preserve">VERSIÓN: </w:t>
          </w:r>
          <w:r w:rsidRPr="00CD65BF">
            <w:rPr>
              <w:rFonts w:ascii="Calibri" w:eastAsia="Calibri" w:hAnsi="Calibri" w:cs="Calibri"/>
              <w:sz w:val="18"/>
              <w:szCs w:val="18"/>
              <w:lang w:val="es-EC" w:eastAsia="es-EC"/>
            </w:rPr>
            <w:t>1.0</w:t>
          </w:r>
        </w:p>
      </w:tc>
    </w:tr>
    <w:tr w:rsidR="00CB10E9" w:rsidRPr="00CD65BF" w:rsidTr="001244BB">
      <w:trPr>
        <w:jc w:val="center"/>
      </w:trPr>
      <w:tc>
        <w:tcPr>
          <w:tcW w:w="1277" w:type="dxa"/>
          <w:vMerge/>
          <w:shd w:val="clear" w:color="auto" w:fill="auto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22"/>
              <w:szCs w:val="22"/>
              <w:lang w:val="es-EC" w:eastAsia="en-US"/>
            </w:rPr>
          </w:pPr>
        </w:p>
      </w:tc>
      <w:tc>
        <w:tcPr>
          <w:tcW w:w="5040" w:type="dxa"/>
          <w:vMerge/>
          <w:shd w:val="clear" w:color="auto" w:fill="auto"/>
          <w:vAlign w:val="center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sz w:val="22"/>
              <w:szCs w:val="22"/>
              <w:lang w:val="es-EC" w:eastAsia="en-US"/>
            </w:rPr>
          </w:pPr>
        </w:p>
      </w:tc>
      <w:tc>
        <w:tcPr>
          <w:tcW w:w="3039" w:type="dxa"/>
          <w:shd w:val="clear" w:color="auto" w:fill="auto"/>
          <w:vAlign w:val="center"/>
        </w:tcPr>
        <w:p w:rsidR="00CD65BF" w:rsidRPr="00CD65BF" w:rsidRDefault="00CD65BF" w:rsidP="009D6BEB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sz w:val="18"/>
              <w:szCs w:val="18"/>
              <w:lang w:val="es-EC" w:eastAsia="en-US"/>
            </w:rPr>
          </w:pPr>
          <w:r w:rsidRPr="00CD65BF">
            <w:rPr>
              <w:rFonts w:ascii="Calibri" w:eastAsia="Calibri" w:hAnsi="Calibri" w:cs="Calibri"/>
              <w:b/>
              <w:sz w:val="18"/>
              <w:szCs w:val="18"/>
              <w:lang w:val="es-EC" w:eastAsia="es-EC"/>
            </w:rPr>
            <w:t>PÁG:</w:t>
          </w:r>
          <w:r w:rsidRPr="00CD65BF">
            <w:rPr>
              <w:rFonts w:ascii="Calibri" w:eastAsia="Calibri" w:hAnsi="Calibri" w:cs="Calibri"/>
              <w:b/>
              <w:sz w:val="18"/>
              <w:szCs w:val="18"/>
              <w:lang w:val="es-ES" w:eastAsia="es-EC"/>
            </w:rPr>
            <w:t xml:space="preserve"> </w:t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fldChar w:fldCharType="begin"/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instrText>PAGE  \* Arabic  \* MERGEFORMAT</w:instrText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fldChar w:fldCharType="separate"/>
          </w:r>
          <w:r w:rsidR="00124E52" w:rsidRPr="00124E52">
            <w:rPr>
              <w:rFonts w:ascii="Calibri" w:eastAsia="Calibri" w:hAnsi="Calibri" w:cs="Calibri"/>
              <w:bCs/>
              <w:noProof/>
              <w:sz w:val="18"/>
              <w:szCs w:val="18"/>
              <w:lang w:val="es-ES" w:eastAsia="es-EC"/>
            </w:rPr>
            <w:t>8</w:t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fldChar w:fldCharType="end"/>
          </w:r>
          <w:r w:rsidRPr="00CD65BF">
            <w:rPr>
              <w:rFonts w:ascii="Calibri" w:eastAsia="Calibri" w:hAnsi="Calibri" w:cs="Calibri"/>
              <w:sz w:val="18"/>
              <w:szCs w:val="18"/>
              <w:lang w:val="es-ES" w:eastAsia="es-EC"/>
            </w:rPr>
            <w:t xml:space="preserve"> de </w:t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fldChar w:fldCharType="begin"/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instrText>NUMPAGES  \* Arabic  \* MERGEFORMAT</w:instrText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fldChar w:fldCharType="separate"/>
          </w:r>
          <w:r w:rsidR="00124E52" w:rsidRPr="00124E52">
            <w:rPr>
              <w:rFonts w:ascii="Calibri" w:eastAsia="Calibri" w:hAnsi="Calibri" w:cs="Calibri"/>
              <w:bCs/>
              <w:noProof/>
              <w:sz w:val="18"/>
              <w:szCs w:val="18"/>
              <w:lang w:val="es-ES" w:eastAsia="es-EC"/>
            </w:rPr>
            <w:t>8</w:t>
          </w:r>
          <w:r w:rsidRPr="00CD65BF">
            <w:rPr>
              <w:rFonts w:ascii="Calibri" w:eastAsia="Calibri" w:hAnsi="Calibri" w:cs="Calibri"/>
              <w:bCs/>
              <w:sz w:val="18"/>
              <w:szCs w:val="18"/>
              <w:lang w:val="es-EC" w:eastAsia="es-EC"/>
            </w:rPr>
            <w:fldChar w:fldCharType="end"/>
          </w:r>
          <w:r w:rsidRPr="00CD65BF">
            <w:rPr>
              <w:rFonts w:ascii="Calibri" w:eastAsia="Calibri" w:hAnsi="Calibri" w:cs="Calibri"/>
              <w:sz w:val="18"/>
              <w:szCs w:val="18"/>
              <w:lang w:val="es-EC" w:eastAsia="en-US"/>
            </w:rPr>
            <w:t xml:space="preserve"> </w:t>
          </w:r>
        </w:p>
      </w:tc>
    </w:tr>
  </w:tbl>
  <w:p w:rsidR="007845B3" w:rsidRDefault="007845B3" w:rsidP="00CD65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40D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83580"/>
    <w:multiLevelType w:val="hybridMultilevel"/>
    <w:tmpl w:val="CD84D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6BC1"/>
    <w:multiLevelType w:val="hybridMultilevel"/>
    <w:tmpl w:val="2716B8D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167F0"/>
    <w:multiLevelType w:val="hybridMultilevel"/>
    <w:tmpl w:val="1FAEC0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454A"/>
    <w:multiLevelType w:val="hybridMultilevel"/>
    <w:tmpl w:val="44642B6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C326E"/>
    <w:multiLevelType w:val="hybridMultilevel"/>
    <w:tmpl w:val="694CF9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115"/>
    <w:multiLevelType w:val="hybridMultilevel"/>
    <w:tmpl w:val="D3585FA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AA"/>
    <w:rsid w:val="00000829"/>
    <w:rsid w:val="000061CB"/>
    <w:rsid w:val="00016806"/>
    <w:rsid w:val="00021C93"/>
    <w:rsid w:val="000269A2"/>
    <w:rsid w:val="00042CB0"/>
    <w:rsid w:val="00045065"/>
    <w:rsid w:val="0004731E"/>
    <w:rsid w:val="000517F1"/>
    <w:rsid w:val="000518BB"/>
    <w:rsid w:val="00054D26"/>
    <w:rsid w:val="000552FD"/>
    <w:rsid w:val="0006410F"/>
    <w:rsid w:val="00064D8D"/>
    <w:rsid w:val="00075CF4"/>
    <w:rsid w:val="0008475B"/>
    <w:rsid w:val="0008713B"/>
    <w:rsid w:val="000930FC"/>
    <w:rsid w:val="0009714D"/>
    <w:rsid w:val="000973B5"/>
    <w:rsid w:val="000A6E16"/>
    <w:rsid w:val="000B02B3"/>
    <w:rsid w:val="000B0CC5"/>
    <w:rsid w:val="000B65E0"/>
    <w:rsid w:val="000B7CC8"/>
    <w:rsid w:val="000C0DFC"/>
    <w:rsid w:val="000D0080"/>
    <w:rsid w:val="000D310B"/>
    <w:rsid w:val="000D7262"/>
    <w:rsid w:val="000E7762"/>
    <w:rsid w:val="000F4A10"/>
    <w:rsid w:val="001026F3"/>
    <w:rsid w:val="00104D98"/>
    <w:rsid w:val="00104FBE"/>
    <w:rsid w:val="001051D1"/>
    <w:rsid w:val="0011092C"/>
    <w:rsid w:val="001131CB"/>
    <w:rsid w:val="0011413B"/>
    <w:rsid w:val="001244BB"/>
    <w:rsid w:val="00124E52"/>
    <w:rsid w:val="00126E1C"/>
    <w:rsid w:val="00130286"/>
    <w:rsid w:val="001345FE"/>
    <w:rsid w:val="00141992"/>
    <w:rsid w:val="0014518F"/>
    <w:rsid w:val="0016089A"/>
    <w:rsid w:val="00176C37"/>
    <w:rsid w:val="00177974"/>
    <w:rsid w:val="00185D67"/>
    <w:rsid w:val="001864B3"/>
    <w:rsid w:val="001869D0"/>
    <w:rsid w:val="00192EFF"/>
    <w:rsid w:val="001A74C8"/>
    <w:rsid w:val="001C28A5"/>
    <w:rsid w:val="001D4F02"/>
    <w:rsid w:val="001E0B30"/>
    <w:rsid w:val="001E1757"/>
    <w:rsid w:val="001F5B04"/>
    <w:rsid w:val="001F5C97"/>
    <w:rsid w:val="001F7F68"/>
    <w:rsid w:val="0020035D"/>
    <w:rsid w:val="00200C97"/>
    <w:rsid w:val="00213100"/>
    <w:rsid w:val="00213607"/>
    <w:rsid w:val="00216444"/>
    <w:rsid w:val="00216EAA"/>
    <w:rsid w:val="00221D1D"/>
    <w:rsid w:val="002250F6"/>
    <w:rsid w:val="0023056B"/>
    <w:rsid w:val="002305BD"/>
    <w:rsid w:val="002331AC"/>
    <w:rsid w:val="002360C1"/>
    <w:rsid w:val="00244100"/>
    <w:rsid w:val="00245609"/>
    <w:rsid w:val="00246339"/>
    <w:rsid w:val="00250F1C"/>
    <w:rsid w:val="00254F04"/>
    <w:rsid w:val="00263B1B"/>
    <w:rsid w:val="0028046A"/>
    <w:rsid w:val="002834B3"/>
    <w:rsid w:val="00283BF2"/>
    <w:rsid w:val="0028455F"/>
    <w:rsid w:val="00286EE6"/>
    <w:rsid w:val="00291CCD"/>
    <w:rsid w:val="00293A09"/>
    <w:rsid w:val="002A0D32"/>
    <w:rsid w:val="002A48B1"/>
    <w:rsid w:val="002C690A"/>
    <w:rsid w:val="002D2864"/>
    <w:rsid w:val="002D3B36"/>
    <w:rsid w:val="002D4681"/>
    <w:rsid w:val="002D7732"/>
    <w:rsid w:val="002E2406"/>
    <w:rsid w:val="002F3710"/>
    <w:rsid w:val="00303143"/>
    <w:rsid w:val="003111E8"/>
    <w:rsid w:val="0031402A"/>
    <w:rsid w:val="00316B37"/>
    <w:rsid w:val="00323397"/>
    <w:rsid w:val="003328F2"/>
    <w:rsid w:val="00337CC4"/>
    <w:rsid w:val="00341112"/>
    <w:rsid w:val="00341E1E"/>
    <w:rsid w:val="003436A9"/>
    <w:rsid w:val="003446D8"/>
    <w:rsid w:val="00346111"/>
    <w:rsid w:val="003533F0"/>
    <w:rsid w:val="00355BF9"/>
    <w:rsid w:val="0035721E"/>
    <w:rsid w:val="0036049C"/>
    <w:rsid w:val="0036509F"/>
    <w:rsid w:val="00365319"/>
    <w:rsid w:val="0036777A"/>
    <w:rsid w:val="0037432B"/>
    <w:rsid w:val="003765A0"/>
    <w:rsid w:val="00383F2D"/>
    <w:rsid w:val="00385CDB"/>
    <w:rsid w:val="00387C36"/>
    <w:rsid w:val="00397E36"/>
    <w:rsid w:val="003A1E9F"/>
    <w:rsid w:val="003B2140"/>
    <w:rsid w:val="003C253F"/>
    <w:rsid w:val="003C28AD"/>
    <w:rsid w:val="003C2DA6"/>
    <w:rsid w:val="003D4B01"/>
    <w:rsid w:val="003D5960"/>
    <w:rsid w:val="003E1DEA"/>
    <w:rsid w:val="003E25A3"/>
    <w:rsid w:val="003F2077"/>
    <w:rsid w:val="003F5EF7"/>
    <w:rsid w:val="00400669"/>
    <w:rsid w:val="00404F56"/>
    <w:rsid w:val="0040655C"/>
    <w:rsid w:val="00413B45"/>
    <w:rsid w:val="004175C9"/>
    <w:rsid w:val="00426504"/>
    <w:rsid w:val="00431D25"/>
    <w:rsid w:val="00440977"/>
    <w:rsid w:val="00441554"/>
    <w:rsid w:val="00444159"/>
    <w:rsid w:val="00445BB4"/>
    <w:rsid w:val="00451E1D"/>
    <w:rsid w:val="00451F79"/>
    <w:rsid w:val="00453C8F"/>
    <w:rsid w:val="00455AFD"/>
    <w:rsid w:val="00456FFB"/>
    <w:rsid w:val="004744B5"/>
    <w:rsid w:val="00483236"/>
    <w:rsid w:val="00484DA1"/>
    <w:rsid w:val="00487482"/>
    <w:rsid w:val="004919C2"/>
    <w:rsid w:val="00492FE7"/>
    <w:rsid w:val="00494956"/>
    <w:rsid w:val="004A2EFF"/>
    <w:rsid w:val="004A4C28"/>
    <w:rsid w:val="004B0DC2"/>
    <w:rsid w:val="004B730C"/>
    <w:rsid w:val="004C177B"/>
    <w:rsid w:val="004C27CE"/>
    <w:rsid w:val="004C40A6"/>
    <w:rsid w:val="004C7417"/>
    <w:rsid w:val="004D6AE2"/>
    <w:rsid w:val="004E7EBA"/>
    <w:rsid w:val="004F3F61"/>
    <w:rsid w:val="005005E6"/>
    <w:rsid w:val="005009B9"/>
    <w:rsid w:val="0050432F"/>
    <w:rsid w:val="00504AE9"/>
    <w:rsid w:val="005073F6"/>
    <w:rsid w:val="00507E76"/>
    <w:rsid w:val="0052046E"/>
    <w:rsid w:val="00520E4C"/>
    <w:rsid w:val="00521BE8"/>
    <w:rsid w:val="005220B6"/>
    <w:rsid w:val="00522D58"/>
    <w:rsid w:val="005268BA"/>
    <w:rsid w:val="005317DA"/>
    <w:rsid w:val="00535CFA"/>
    <w:rsid w:val="005373BB"/>
    <w:rsid w:val="005450CE"/>
    <w:rsid w:val="005553F9"/>
    <w:rsid w:val="005577C6"/>
    <w:rsid w:val="00566E6E"/>
    <w:rsid w:val="00570F1E"/>
    <w:rsid w:val="00573701"/>
    <w:rsid w:val="00592B54"/>
    <w:rsid w:val="005A360D"/>
    <w:rsid w:val="005B17F1"/>
    <w:rsid w:val="005B424F"/>
    <w:rsid w:val="005B4284"/>
    <w:rsid w:val="005D0EFB"/>
    <w:rsid w:val="005D14B5"/>
    <w:rsid w:val="005D2E24"/>
    <w:rsid w:val="005D373D"/>
    <w:rsid w:val="005D4388"/>
    <w:rsid w:val="005D5B81"/>
    <w:rsid w:val="005D6DAF"/>
    <w:rsid w:val="005E0162"/>
    <w:rsid w:val="005E25AC"/>
    <w:rsid w:val="005F2A3C"/>
    <w:rsid w:val="005F39DE"/>
    <w:rsid w:val="005F7673"/>
    <w:rsid w:val="006045C1"/>
    <w:rsid w:val="00605489"/>
    <w:rsid w:val="006078F2"/>
    <w:rsid w:val="006125FB"/>
    <w:rsid w:val="00617C76"/>
    <w:rsid w:val="00623586"/>
    <w:rsid w:val="00636B51"/>
    <w:rsid w:val="00637B5E"/>
    <w:rsid w:val="00641880"/>
    <w:rsid w:val="00642E32"/>
    <w:rsid w:val="0064555C"/>
    <w:rsid w:val="00654E80"/>
    <w:rsid w:val="00655EA8"/>
    <w:rsid w:val="00671A57"/>
    <w:rsid w:val="006829A4"/>
    <w:rsid w:val="006842A4"/>
    <w:rsid w:val="00686E56"/>
    <w:rsid w:val="006877C2"/>
    <w:rsid w:val="0069032F"/>
    <w:rsid w:val="006A3B7B"/>
    <w:rsid w:val="006A7FCB"/>
    <w:rsid w:val="006B263D"/>
    <w:rsid w:val="006B7442"/>
    <w:rsid w:val="006B7DA0"/>
    <w:rsid w:val="006C55B3"/>
    <w:rsid w:val="006D674F"/>
    <w:rsid w:val="006D78AA"/>
    <w:rsid w:val="006E43D1"/>
    <w:rsid w:val="006E51B0"/>
    <w:rsid w:val="006E7634"/>
    <w:rsid w:val="006E7880"/>
    <w:rsid w:val="006E7BA1"/>
    <w:rsid w:val="006F5584"/>
    <w:rsid w:val="007143DA"/>
    <w:rsid w:val="00714F92"/>
    <w:rsid w:val="00720B7C"/>
    <w:rsid w:val="00726455"/>
    <w:rsid w:val="0073628D"/>
    <w:rsid w:val="007440DE"/>
    <w:rsid w:val="00751AD1"/>
    <w:rsid w:val="007522BB"/>
    <w:rsid w:val="0075353D"/>
    <w:rsid w:val="007540EE"/>
    <w:rsid w:val="007577FA"/>
    <w:rsid w:val="00757AB7"/>
    <w:rsid w:val="00760FEB"/>
    <w:rsid w:val="007619B1"/>
    <w:rsid w:val="0076340A"/>
    <w:rsid w:val="00765FBA"/>
    <w:rsid w:val="00766042"/>
    <w:rsid w:val="00774769"/>
    <w:rsid w:val="00777477"/>
    <w:rsid w:val="007822A3"/>
    <w:rsid w:val="007845B3"/>
    <w:rsid w:val="00785741"/>
    <w:rsid w:val="00787B66"/>
    <w:rsid w:val="00791FE3"/>
    <w:rsid w:val="00792DEF"/>
    <w:rsid w:val="00793FF1"/>
    <w:rsid w:val="007A1648"/>
    <w:rsid w:val="007A2F74"/>
    <w:rsid w:val="007A345A"/>
    <w:rsid w:val="007A67A3"/>
    <w:rsid w:val="007A7263"/>
    <w:rsid w:val="007B2E43"/>
    <w:rsid w:val="007C104C"/>
    <w:rsid w:val="007C5657"/>
    <w:rsid w:val="007D0897"/>
    <w:rsid w:val="007D2300"/>
    <w:rsid w:val="007E3DCB"/>
    <w:rsid w:val="007F3E7D"/>
    <w:rsid w:val="007F4CA3"/>
    <w:rsid w:val="00804835"/>
    <w:rsid w:val="0081038B"/>
    <w:rsid w:val="00810A0C"/>
    <w:rsid w:val="00816765"/>
    <w:rsid w:val="00816F51"/>
    <w:rsid w:val="00835F28"/>
    <w:rsid w:val="008378E0"/>
    <w:rsid w:val="0084203B"/>
    <w:rsid w:val="00843BFF"/>
    <w:rsid w:val="008460F3"/>
    <w:rsid w:val="00847232"/>
    <w:rsid w:val="00847543"/>
    <w:rsid w:val="00851A6B"/>
    <w:rsid w:val="00852F87"/>
    <w:rsid w:val="0085565A"/>
    <w:rsid w:val="0087265F"/>
    <w:rsid w:val="008745D6"/>
    <w:rsid w:val="008750F0"/>
    <w:rsid w:val="0088242D"/>
    <w:rsid w:val="00885FCA"/>
    <w:rsid w:val="0088712E"/>
    <w:rsid w:val="008874CF"/>
    <w:rsid w:val="00890062"/>
    <w:rsid w:val="00896077"/>
    <w:rsid w:val="008A141F"/>
    <w:rsid w:val="008A5863"/>
    <w:rsid w:val="008B4800"/>
    <w:rsid w:val="008B75BF"/>
    <w:rsid w:val="008C361A"/>
    <w:rsid w:val="008E0168"/>
    <w:rsid w:val="008E376D"/>
    <w:rsid w:val="008F472C"/>
    <w:rsid w:val="00904A78"/>
    <w:rsid w:val="009053A2"/>
    <w:rsid w:val="009202D6"/>
    <w:rsid w:val="0093137F"/>
    <w:rsid w:val="00932648"/>
    <w:rsid w:val="00933DDC"/>
    <w:rsid w:val="00935AE8"/>
    <w:rsid w:val="00944CDE"/>
    <w:rsid w:val="00947A84"/>
    <w:rsid w:val="009507FD"/>
    <w:rsid w:val="00956EB1"/>
    <w:rsid w:val="009616E7"/>
    <w:rsid w:val="00964054"/>
    <w:rsid w:val="00970AEA"/>
    <w:rsid w:val="0097287D"/>
    <w:rsid w:val="009746B3"/>
    <w:rsid w:val="00974B2D"/>
    <w:rsid w:val="009835E0"/>
    <w:rsid w:val="00991602"/>
    <w:rsid w:val="00994196"/>
    <w:rsid w:val="009B7AF1"/>
    <w:rsid w:val="009B7E65"/>
    <w:rsid w:val="009C09B9"/>
    <w:rsid w:val="009C2DCD"/>
    <w:rsid w:val="009C3CB7"/>
    <w:rsid w:val="009C4CFC"/>
    <w:rsid w:val="009C4E3F"/>
    <w:rsid w:val="009D6BEB"/>
    <w:rsid w:val="009D713C"/>
    <w:rsid w:val="009E4D9E"/>
    <w:rsid w:val="009E7471"/>
    <w:rsid w:val="009F2F9B"/>
    <w:rsid w:val="00A16C83"/>
    <w:rsid w:val="00A22258"/>
    <w:rsid w:val="00A2550B"/>
    <w:rsid w:val="00A2752E"/>
    <w:rsid w:val="00A27A2D"/>
    <w:rsid w:val="00A32A52"/>
    <w:rsid w:val="00A47ACC"/>
    <w:rsid w:val="00A51981"/>
    <w:rsid w:val="00A53CC8"/>
    <w:rsid w:val="00A55AAA"/>
    <w:rsid w:val="00A56BFC"/>
    <w:rsid w:val="00A56D4C"/>
    <w:rsid w:val="00A5720D"/>
    <w:rsid w:val="00A607E8"/>
    <w:rsid w:val="00A61EDF"/>
    <w:rsid w:val="00A729EA"/>
    <w:rsid w:val="00A813F1"/>
    <w:rsid w:val="00A83895"/>
    <w:rsid w:val="00A851B1"/>
    <w:rsid w:val="00A908BE"/>
    <w:rsid w:val="00A963C3"/>
    <w:rsid w:val="00A96613"/>
    <w:rsid w:val="00AA7C57"/>
    <w:rsid w:val="00AB48A6"/>
    <w:rsid w:val="00AB5592"/>
    <w:rsid w:val="00AC1950"/>
    <w:rsid w:val="00AC2C97"/>
    <w:rsid w:val="00AC41A7"/>
    <w:rsid w:val="00AD5CC0"/>
    <w:rsid w:val="00AD6C21"/>
    <w:rsid w:val="00AE2FFF"/>
    <w:rsid w:val="00AE30D2"/>
    <w:rsid w:val="00AE6F36"/>
    <w:rsid w:val="00AF3873"/>
    <w:rsid w:val="00AF5205"/>
    <w:rsid w:val="00B029CE"/>
    <w:rsid w:val="00B052C2"/>
    <w:rsid w:val="00B162FE"/>
    <w:rsid w:val="00B21F29"/>
    <w:rsid w:val="00B2287E"/>
    <w:rsid w:val="00B23B58"/>
    <w:rsid w:val="00B344C5"/>
    <w:rsid w:val="00B36932"/>
    <w:rsid w:val="00B413E7"/>
    <w:rsid w:val="00B41709"/>
    <w:rsid w:val="00B442C9"/>
    <w:rsid w:val="00B45D71"/>
    <w:rsid w:val="00B465D6"/>
    <w:rsid w:val="00B46E2F"/>
    <w:rsid w:val="00B47F2E"/>
    <w:rsid w:val="00B53866"/>
    <w:rsid w:val="00B5556C"/>
    <w:rsid w:val="00B67C14"/>
    <w:rsid w:val="00B745C1"/>
    <w:rsid w:val="00B94F4F"/>
    <w:rsid w:val="00B9689E"/>
    <w:rsid w:val="00BA5351"/>
    <w:rsid w:val="00BB404C"/>
    <w:rsid w:val="00BB4BCC"/>
    <w:rsid w:val="00BD1864"/>
    <w:rsid w:val="00BD2E47"/>
    <w:rsid w:val="00BE079B"/>
    <w:rsid w:val="00BE2E2F"/>
    <w:rsid w:val="00BF54BA"/>
    <w:rsid w:val="00BF7ACA"/>
    <w:rsid w:val="00C03B5F"/>
    <w:rsid w:val="00C167A8"/>
    <w:rsid w:val="00C22721"/>
    <w:rsid w:val="00C26EBD"/>
    <w:rsid w:val="00C31418"/>
    <w:rsid w:val="00C359E5"/>
    <w:rsid w:val="00C46F86"/>
    <w:rsid w:val="00C5414A"/>
    <w:rsid w:val="00C554B6"/>
    <w:rsid w:val="00C56B92"/>
    <w:rsid w:val="00C60207"/>
    <w:rsid w:val="00C65518"/>
    <w:rsid w:val="00C67EDD"/>
    <w:rsid w:val="00C75AF9"/>
    <w:rsid w:val="00C76006"/>
    <w:rsid w:val="00C964A3"/>
    <w:rsid w:val="00CA0B7C"/>
    <w:rsid w:val="00CA328E"/>
    <w:rsid w:val="00CB10E9"/>
    <w:rsid w:val="00CB1A85"/>
    <w:rsid w:val="00CB5FE6"/>
    <w:rsid w:val="00CC5E27"/>
    <w:rsid w:val="00CC6195"/>
    <w:rsid w:val="00CD65BF"/>
    <w:rsid w:val="00CD69BE"/>
    <w:rsid w:val="00CD6EB5"/>
    <w:rsid w:val="00CE0DE1"/>
    <w:rsid w:val="00CE7009"/>
    <w:rsid w:val="00CF04DF"/>
    <w:rsid w:val="00CF2829"/>
    <w:rsid w:val="00D033D9"/>
    <w:rsid w:val="00D035EE"/>
    <w:rsid w:val="00D12858"/>
    <w:rsid w:val="00D20E0D"/>
    <w:rsid w:val="00D241B1"/>
    <w:rsid w:val="00D306F5"/>
    <w:rsid w:val="00D426F2"/>
    <w:rsid w:val="00D4415D"/>
    <w:rsid w:val="00D444B0"/>
    <w:rsid w:val="00D45730"/>
    <w:rsid w:val="00D52C54"/>
    <w:rsid w:val="00D55CF9"/>
    <w:rsid w:val="00D61897"/>
    <w:rsid w:val="00D63B5B"/>
    <w:rsid w:val="00D71EDA"/>
    <w:rsid w:val="00D81D25"/>
    <w:rsid w:val="00D83784"/>
    <w:rsid w:val="00D869C8"/>
    <w:rsid w:val="00D87E5F"/>
    <w:rsid w:val="00D92D93"/>
    <w:rsid w:val="00D94AA0"/>
    <w:rsid w:val="00D9579E"/>
    <w:rsid w:val="00DB5280"/>
    <w:rsid w:val="00DC4460"/>
    <w:rsid w:val="00DC4FA1"/>
    <w:rsid w:val="00DD2A0F"/>
    <w:rsid w:val="00DD5A1D"/>
    <w:rsid w:val="00DE42C5"/>
    <w:rsid w:val="00DF0109"/>
    <w:rsid w:val="00E01035"/>
    <w:rsid w:val="00E10C26"/>
    <w:rsid w:val="00E146DF"/>
    <w:rsid w:val="00E14E1B"/>
    <w:rsid w:val="00E14FAB"/>
    <w:rsid w:val="00E1662B"/>
    <w:rsid w:val="00E21776"/>
    <w:rsid w:val="00E34F9C"/>
    <w:rsid w:val="00E41600"/>
    <w:rsid w:val="00E447F0"/>
    <w:rsid w:val="00E46440"/>
    <w:rsid w:val="00E46E75"/>
    <w:rsid w:val="00E47CA1"/>
    <w:rsid w:val="00E47D8F"/>
    <w:rsid w:val="00E50A0D"/>
    <w:rsid w:val="00E5352C"/>
    <w:rsid w:val="00E535C7"/>
    <w:rsid w:val="00E53FB4"/>
    <w:rsid w:val="00E540F1"/>
    <w:rsid w:val="00E54E33"/>
    <w:rsid w:val="00E55E7A"/>
    <w:rsid w:val="00E57C57"/>
    <w:rsid w:val="00E61594"/>
    <w:rsid w:val="00E61D25"/>
    <w:rsid w:val="00E63625"/>
    <w:rsid w:val="00E7140E"/>
    <w:rsid w:val="00E72301"/>
    <w:rsid w:val="00E77A99"/>
    <w:rsid w:val="00E823D6"/>
    <w:rsid w:val="00E95F20"/>
    <w:rsid w:val="00E97E85"/>
    <w:rsid w:val="00EA41AD"/>
    <w:rsid w:val="00EB66E3"/>
    <w:rsid w:val="00EC095D"/>
    <w:rsid w:val="00EC4CE7"/>
    <w:rsid w:val="00EC5C1F"/>
    <w:rsid w:val="00ED26E7"/>
    <w:rsid w:val="00EE01F0"/>
    <w:rsid w:val="00EE1CA8"/>
    <w:rsid w:val="00EE4E70"/>
    <w:rsid w:val="00EF304F"/>
    <w:rsid w:val="00F006B6"/>
    <w:rsid w:val="00F06CF0"/>
    <w:rsid w:val="00F13F95"/>
    <w:rsid w:val="00F206C7"/>
    <w:rsid w:val="00F251F5"/>
    <w:rsid w:val="00F3076E"/>
    <w:rsid w:val="00F33830"/>
    <w:rsid w:val="00F3475F"/>
    <w:rsid w:val="00F356DD"/>
    <w:rsid w:val="00F40745"/>
    <w:rsid w:val="00F577D7"/>
    <w:rsid w:val="00F62CC4"/>
    <w:rsid w:val="00F62FF2"/>
    <w:rsid w:val="00F63757"/>
    <w:rsid w:val="00F703CA"/>
    <w:rsid w:val="00F71ABA"/>
    <w:rsid w:val="00F720DA"/>
    <w:rsid w:val="00F73BC1"/>
    <w:rsid w:val="00F83E0A"/>
    <w:rsid w:val="00F9328A"/>
    <w:rsid w:val="00FC2BA4"/>
    <w:rsid w:val="00FC419F"/>
    <w:rsid w:val="00FC6E32"/>
    <w:rsid w:val="00FD01AF"/>
    <w:rsid w:val="00FD01E2"/>
    <w:rsid w:val="00FD2542"/>
    <w:rsid w:val="00FD370A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9ACE3F27-0105-814C-B18B-607BDFF1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566E6E"/>
    <w:pPr>
      <w:textAlignment w:val="baseline"/>
      <w:outlineLvl w:val="0"/>
    </w:pPr>
    <w:rPr>
      <w:rFonts w:ascii="Times New Roman" w:eastAsia="Times New Roman" w:hAnsi="Times New Roman"/>
      <w:kern w:val="36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B0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6E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6EAA"/>
  </w:style>
  <w:style w:type="paragraph" w:styleId="Piedepgina">
    <w:name w:val="footer"/>
    <w:basedOn w:val="Normal"/>
    <w:link w:val="PiedepginaCar"/>
    <w:uiPriority w:val="99"/>
    <w:unhideWhenUsed/>
    <w:rsid w:val="00216E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EAA"/>
  </w:style>
  <w:style w:type="paragraph" w:styleId="Textodeglobo">
    <w:name w:val="Balloon Text"/>
    <w:basedOn w:val="Normal"/>
    <w:link w:val="TextodegloboCar"/>
    <w:uiPriority w:val="99"/>
    <w:semiHidden/>
    <w:unhideWhenUsed/>
    <w:rsid w:val="00216EAA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16EAA"/>
    <w:rPr>
      <w:rFonts w:ascii="Lucida Grande" w:hAnsi="Lucida Grande"/>
      <w:sz w:val="18"/>
      <w:szCs w:val="18"/>
    </w:rPr>
  </w:style>
  <w:style w:type="paragraph" w:customStyle="1" w:styleId="Cuadrculamedia21">
    <w:name w:val="Cuadrícula media 21"/>
    <w:uiPriority w:val="1"/>
    <w:qFormat/>
    <w:rsid w:val="00D63B5B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rsid w:val="00566E6E"/>
    <w:rPr>
      <w:rFonts w:ascii="Times New Roman" w:eastAsia="Times New Roman" w:hAnsi="Times New Roman"/>
      <w:kern w:val="3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6E6E"/>
    <w:pPr>
      <w:textAlignment w:val="baseline"/>
    </w:pPr>
    <w:rPr>
      <w:rFonts w:ascii="Times New Roman" w:eastAsia="Times New Roman" w:hAnsi="Times New Roman"/>
      <w:lang w:val="es-EC" w:eastAsia="es-EC"/>
    </w:rPr>
  </w:style>
  <w:style w:type="character" w:customStyle="1" w:styleId="date3">
    <w:name w:val="date3"/>
    <w:rsid w:val="00566E6E"/>
    <w:rPr>
      <w:sz w:val="24"/>
      <w:szCs w:val="24"/>
      <w:bdr w:val="none" w:sz="0" w:space="0" w:color="auto" w:frame="1"/>
      <w:vertAlign w:val="baseline"/>
    </w:rPr>
  </w:style>
  <w:style w:type="paragraph" w:customStyle="1" w:styleId="Default">
    <w:name w:val="Default"/>
    <w:rsid w:val="0093264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s-EC" w:eastAsia="en-US"/>
    </w:rPr>
  </w:style>
  <w:style w:type="table" w:styleId="Tablaconcuadrcula">
    <w:name w:val="Table Grid"/>
    <w:aliases w:val="Indicadores - Procesos"/>
    <w:basedOn w:val="Tablanormal"/>
    <w:uiPriority w:val="39"/>
    <w:rsid w:val="00286E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dzsvb">
    <w:name w:val="sdzsvb"/>
    <w:rsid w:val="003F2077"/>
  </w:style>
  <w:style w:type="character" w:customStyle="1" w:styleId="st">
    <w:name w:val="st"/>
    <w:rsid w:val="00CF04DF"/>
  </w:style>
  <w:style w:type="character" w:styleId="nfasis">
    <w:name w:val="Emphasis"/>
    <w:uiPriority w:val="20"/>
    <w:qFormat/>
    <w:rsid w:val="00CF04DF"/>
    <w:rPr>
      <w:i/>
      <w:iCs/>
    </w:rPr>
  </w:style>
  <w:style w:type="paragraph" w:styleId="Prrafodelista">
    <w:name w:val="List Paragraph"/>
    <w:basedOn w:val="Normal"/>
    <w:uiPriority w:val="34"/>
    <w:qFormat/>
    <w:rsid w:val="00D92D93"/>
    <w:pPr>
      <w:ind w:left="708"/>
    </w:pPr>
  </w:style>
  <w:style w:type="table" w:customStyle="1" w:styleId="Indicadores-Procesos1">
    <w:name w:val="Indicadores - Procesos1"/>
    <w:basedOn w:val="Tablanormal"/>
    <w:next w:val="Tablaconcuadrcula"/>
    <w:uiPriority w:val="39"/>
    <w:rsid w:val="00CD6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D65BF"/>
    <w:pPr>
      <w:keepNext/>
      <w:keepLines/>
      <w:spacing w:before="480" w:line="276" w:lineRule="auto"/>
      <w:textAlignment w:val="auto"/>
      <w:outlineLvl w:val="9"/>
    </w:pPr>
    <w:rPr>
      <w:rFonts w:ascii="Cambria" w:hAnsi="Cambria"/>
      <w:b/>
      <w:bCs/>
      <w:color w:val="365F91"/>
      <w:kern w:val="0"/>
      <w:sz w:val="28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CD65BF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s-EC" w:eastAsia="en-US"/>
    </w:rPr>
  </w:style>
  <w:style w:type="character" w:styleId="Hipervnculo">
    <w:name w:val="Hyperlink"/>
    <w:uiPriority w:val="99"/>
    <w:unhideWhenUsed/>
    <w:rsid w:val="00CD65BF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1F5B04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D6BEB"/>
  </w:style>
  <w:style w:type="character" w:styleId="Refdecomentario">
    <w:name w:val="annotation reference"/>
    <w:uiPriority w:val="99"/>
    <w:semiHidden/>
    <w:unhideWhenUsed/>
    <w:rsid w:val="00655E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5E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55EA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5E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55EA8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659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6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0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4E41-021D-4EE1-85B2-14A25F5E20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ARROBO DC</Company>
  <LinksUpToDate>false</LinksUpToDate>
  <CharactersWithSpaces>11606</CharactersWithSpaces>
  <SharedDoc>false</SharedDoc>
  <HLinks>
    <vt:vector size="60" baseType="variant"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_Toc98767664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_Toc98767663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_Toc98767662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_Toc98767661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_Toc98767660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_Toc98767659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_Toc98767658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_Toc98767657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_Toc98767656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_Toc98767655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Arrobo</dc:creator>
  <cp:keywords/>
  <cp:lastModifiedBy>sandra ramos</cp:lastModifiedBy>
  <cp:revision>2</cp:revision>
  <cp:lastPrinted>2018-11-06T16:57:00Z</cp:lastPrinted>
  <dcterms:created xsi:type="dcterms:W3CDTF">2022-03-21T21:10:00Z</dcterms:created>
  <dcterms:modified xsi:type="dcterms:W3CDTF">2022-03-21T21:10:00Z</dcterms:modified>
</cp:coreProperties>
</file>